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CD" w:rsidRPr="00AC328E" w:rsidRDefault="00112259" w:rsidP="00230935">
      <w:pPr>
        <w:widowControl w:val="0"/>
        <w:ind w:firstLine="4253"/>
        <w:jc w:val="both"/>
        <w:rPr>
          <w:b/>
          <w:snapToGrid w:val="0"/>
          <w:sz w:val="28"/>
          <w:szCs w:val="28"/>
        </w:rPr>
      </w:pPr>
      <w:r w:rsidRPr="00AC328E">
        <w:rPr>
          <w:b/>
          <w:snapToGrid w:val="0"/>
          <w:sz w:val="28"/>
          <w:szCs w:val="28"/>
        </w:rPr>
        <w:t>УТВЕРЖДЕНА</w:t>
      </w:r>
    </w:p>
    <w:p w:rsidR="00DA60CD" w:rsidRPr="00AC328E" w:rsidRDefault="00112259" w:rsidP="00230935">
      <w:pPr>
        <w:autoSpaceDE w:val="0"/>
        <w:autoSpaceDN w:val="0"/>
        <w:ind w:firstLine="4253"/>
        <w:jc w:val="both"/>
        <w:rPr>
          <w:sz w:val="28"/>
          <w:szCs w:val="28"/>
        </w:rPr>
      </w:pPr>
      <w:r w:rsidRPr="00AC328E">
        <w:rPr>
          <w:sz w:val="28"/>
          <w:szCs w:val="28"/>
        </w:rPr>
        <w:t xml:space="preserve">Приказом председателя </w:t>
      </w:r>
    </w:p>
    <w:p w:rsidR="00DA60CD" w:rsidRPr="00AC328E" w:rsidRDefault="00112259" w:rsidP="00230935">
      <w:pPr>
        <w:keepNext/>
        <w:autoSpaceDE w:val="0"/>
        <w:autoSpaceDN w:val="0"/>
        <w:ind w:firstLine="4253"/>
        <w:jc w:val="both"/>
        <w:outlineLvl w:val="2"/>
        <w:rPr>
          <w:color w:val="000000"/>
          <w:sz w:val="28"/>
          <w:szCs w:val="28"/>
        </w:rPr>
      </w:pPr>
      <w:r w:rsidRPr="00AC328E">
        <w:rPr>
          <w:color w:val="000000"/>
          <w:sz w:val="28"/>
          <w:szCs w:val="28"/>
        </w:rPr>
        <w:t>Комитет контроля качества и</w:t>
      </w:r>
    </w:p>
    <w:p w:rsidR="00DA60CD" w:rsidRPr="00AC328E" w:rsidRDefault="00112259" w:rsidP="00230935">
      <w:pPr>
        <w:keepNext/>
        <w:autoSpaceDE w:val="0"/>
        <w:autoSpaceDN w:val="0"/>
        <w:ind w:firstLine="4253"/>
        <w:jc w:val="both"/>
        <w:outlineLvl w:val="2"/>
        <w:rPr>
          <w:color w:val="000000"/>
          <w:sz w:val="28"/>
          <w:szCs w:val="28"/>
        </w:rPr>
      </w:pPr>
      <w:r w:rsidRPr="00AC328E">
        <w:rPr>
          <w:color w:val="000000"/>
          <w:sz w:val="28"/>
          <w:szCs w:val="28"/>
        </w:rPr>
        <w:t>безопасности товаров и услуг</w:t>
      </w:r>
    </w:p>
    <w:p w:rsidR="00DA60CD" w:rsidRPr="00AC328E" w:rsidRDefault="00112259" w:rsidP="00230935">
      <w:pPr>
        <w:keepNext/>
        <w:autoSpaceDE w:val="0"/>
        <w:autoSpaceDN w:val="0"/>
        <w:ind w:firstLine="4253"/>
        <w:jc w:val="both"/>
        <w:outlineLvl w:val="2"/>
        <w:rPr>
          <w:bCs/>
          <w:sz w:val="28"/>
          <w:szCs w:val="28"/>
          <w:lang w:val="uk-UA"/>
        </w:rPr>
      </w:pPr>
      <w:r w:rsidRPr="00AC328E">
        <w:rPr>
          <w:bCs/>
          <w:sz w:val="28"/>
          <w:szCs w:val="28"/>
        </w:rPr>
        <w:t>Министерства здравоохранения</w:t>
      </w:r>
      <w:r w:rsidRPr="00AC328E">
        <w:rPr>
          <w:bCs/>
          <w:sz w:val="28"/>
          <w:szCs w:val="28"/>
          <w:lang w:val="uk-UA"/>
        </w:rPr>
        <w:t xml:space="preserve"> </w:t>
      </w:r>
    </w:p>
    <w:p w:rsidR="00DA60CD" w:rsidRPr="00AC328E" w:rsidRDefault="00112259" w:rsidP="00230935">
      <w:pPr>
        <w:keepNext/>
        <w:autoSpaceDE w:val="0"/>
        <w:autoSpaceDN w:val="0"/>
        <w:ind w:firstLine="4253"/>
        <w:jc w:val="both"/>
        <w:outlineLvl w:val="3"/>
        <w:rPr>
          <w:bCs/>
          <w:sz w:val="28"/>
          <w:szCs w:val="28"/>
        </w:rPr>
      </w:pPr>
      <w:r w:rsidRPr="00AC328E">
        <w:rPr>
          <w:bCs/>
          <w:sz w:val="28"/>
          <w:szCs w:val="28"/>
        </w:rPr>
        <w:t>Республики Казахстан</w:t>
      </w:r>
    </w:p>
    <w:p w:rsidR="00773829" w:rsidRDefault="00773829" w:rsidP="00773829">
      <w:pPr>
        <w:rPr>
          <w:sz w:val="28"/>
          <w:szCs w:val="28"/>
        </w:rPr>
      </w:pPr>
      <w:r>
        <w:rPr>
          <w:sz w:val="28"/>
          <w:szCs w:val="28"/>
          <w:lang w:val="en-US"/>
        </w:rPr>
        <w:t xml:space="preserve">                                                             </w:t>
      </w:r>
      <w:r>
        <w:rPr>
          <w:sz w:val="28"/>
          <w:szCs w:val="28"/>
        </w:rPr>
        <w:t>«</w:t>
      </w:r>
      <w:proofErr w:type="gramStart"/>
      <w:r w:rsidRPr="00773829">
        <w:rPr>
          <w:sz w:val="28"/>
          <w:szCs w:val="28"/>
          <w:u w:val="single"/>
        </w:rPr>
        <w:t>13</w:t>
      </w:r>
      <w:r>
        <w:rPr>
          <w:sz w:val="28"/>
          <w:szCs w:val="28"/>
        </w:rPr>
        <w:t xml:space="preserve">»  </w:t>
      </w:r>
      <w:r w:rsidRPr="00773829">
        <w:rPr>
          <w:sz w:val="28"/>
          <w:szCs w:val="28"/>
          <w:u w:val="single"/>
        </w:rPr>
        <w:t>09</w:t>
      </w:r>
      <w:proofErr w:type="gramEnd"/>
      <w:r w:rsidRPr="00773829">
        <w:rPr>
          <w:sz w:val="28"/>
          <w:szCs w:val="28"/>
        </w:rPr>
        <w:t xml:space="preserve">  </w:t>
      </w:r>
      <w:r>
        <w:rPr>
          <w:sz w:val="28"/>
          <w:szCs w:val="28"/>
        </w:rPr>
        <w:t>201</w:t>
      </w:r>
      <w:r w:rsidRPr="00773829">
        <w:rPr>
          <w:sz w:val="28"/>
          <w:szCs w:val="28"/>
          <w:lang w:val="en-US"/>
        </w:rPr>
        <w:t xml:space="preserve">9 </w:t>
      </w:r>
      <w:r>
        <w:rPr>
          <w:sz w:val="28"/>
          <w:szCs w:val="28"/>
        </w:rPr>
        <w:t>г.</w:t>
      </w:r>
    </w:p>
    <w:p w:rsidR="00DA60CD" w:rsidRPr="00773829" w:rsidRDefault="00773829" w:rsidP="00773829">
      <w:pPr>
        <w:pStyle w:val="a5"/>
        <w:ind w:firstLine="4253"/>
        <w:jc w:val="both"/>
        <w:rPr>
          <w:rFonts w:ascii="Times New Roman" w:hAnsi="Times New Roman"/>
          <w:b w:val="0"/>
          <w:sz w:val="28"/>
          <w:szCs w:val="28"/>
        </w:rPr>
      </w:pPr>
      <w:r>
        <w:rPr>
          <w:rFonts w:ascii="Times New Roman" w:hAnsi="Times New Roman"/>
          <w:b w:val="0"/>
          <w:sz w:val="28"/>
          <w:szCs w:val="28"/>
          <w:lang w:val="en-US"/>
        </w:rPr>
        <w:t xml:space="preserve"> </w:t>
      </w:r>
      <w:r w:rsidRPr="00773829">
        <w:rPr>
          <w:rFonts w:ascii="Times New Roman" w:hAnsi="Times New Roman"/>
          <w:b w:val="0"/>
          <w:sz w:val="28"/>
          <w:szCs w:val="28"/>
        </w:rPr>
        <w:t xml:space="preserve">№ </w:t>
      </w:r>
      <w:r w:rsidRPr="00773829">
        <w:rPr>
          <w:rFonts w:ascii="Times New Roman" w:hAnsi="Times New Roman"/>
          <w:b w:val="0"/>
          <w:sz w:val="28"/>
          <w:szCs w:val="28"/>
          <w:u w:val="single"/>
          <w:lang w:val="en-US"/>
        </w:rPr>
        <w:t>N</w:t>
      </w:r>
      <w:r w:rsidRPr="00773829">
        <w:rPr>
          <w:rFonts w:ascii="Times New Roman" w:hAnsi="Times New Roman"/>
          <w:b w:val="0"/>
          <w:sz w:val="28"/>
          <w:szCs w:val="28"/>
          <w:u w:val="single"/>
        </w:rPr>
        <w:t>023619</w:t>
      </w:r>
      <w:bookmarkStart w:id="0" w:name="_GoBack"/>
      <w:bookmarkEnd w:id="0"/>
    </w:p>
    <w:p w:rsidR="00DA60CD" w:rsidRDefault="00DA60CD" w:rsidP="00230935">
      <w:pPr>
        <w:pStyle w:val="a5"/>
        <w:jc w:val="both"/>
        <w:rPr>
          <w:rFonts w:ascii="Times New Roman" w:hAnsi="Times New Roman"/>
          <w:sz w:val="28"/>
          <w:szCs w:val="28"/>
        </w:rPr>
      </w:pPr>
    </w:p>
    <w:p w:rsidR="00E82212" w:rsidRPr="00F86CEE" w:rsidRDefault="00112259" w:rsidP="00E82212">
      <w:pPr>
        <w:pStyle w:val="a5"/>
        <w:rPr>
          <w:rFonts w:ascii="Times New Roman" w:hAnsi="Times New Roman"/>
          <w:sz w:val="28"/>
          <w:szCs w:val="28"/>
        </w:rPr>
      </w:pPr>
      <w:r w:rsidRPr="00F86CEE">
        <w:rPr>
          <w:rFonts w:ascii="Times New Roman" w:hAnsi="Times New Roman"/>
          <w:sz w:val="28"/>
          <w:szCs w:val="28"/>
        </w:rPr>
        <w:t>Инструкция по медицинскому применению</w:t>
      </w:r>
    </w:p>
    <w:p w:rsidR="00E82212" w:rsidRPr="00F86CEE" w:rsidRDefault="00112259" w:rsidP="00E82212">
      <w:pPr>
        <w:pStyle w:val="a5"/>
        <w:ind w:right="-104"/>
        <w:rPr>
          <w:rFonts w:ascii="Times New Roman" w:hAnsi="Times New Roman"/>
          <w:sz w:val="28"/>
          <w:szCs w:val="28"/>
        </w:rPr>
      </w:pPr>
      <w:r w:rsidRPr="00F86CEE">
        <w:rPr>
          <w:rFonts w:ascii="Times New Roman" w:hAnsi="Times New Roman"/>
          <w:sz w:val="28"/>
          <w:szCs w:val="28"/>
        </w:rPr>
        <w:t xml:space="preserve">лекарственного средства </w:t>
      </w:r>
    </w:p>
    <w:p w:rsidR="007D56CC" w:rsidRDefault="00112259" w:rsidP="007D56CC">
      <w:pPr>
        <w:pStyle w:val="a5"/>
        <w:rPr>
          <w:rFonts w:ascii="Times New Roman" w:hAnsi="Times New Roman"/>
          <w:sz w:val="28"/>
        </w:rPr>
      </w:pPr>
      <w:r w:rsidRPr="00F86CEE">
        <w:rPr>
          <w:rFonts w:ascii="Times New Roman" w:hAnsi="Times New Roman"/>
          <w:sz w:val="28"/>
        </w:rPr>
        <w:t xml:space="preserve">  </w:t>
      </w:r>
      <w:r w:rsidR="00D607D3" w:rsidRPr="00F86CEE">
        <w:rPr>
          <w:rFonts w:ascii="Times New Roman" w:hAnsi="Times New Roman"/>
          <w:sz w:val="28"/>
        </w:rPr>
        <w:t>ПИПОЛЬФЕН</w:t>
      </w:r>
      <w:r w:rsidR="00D607D3" w:rsidRPr="00F86CEE">
        <w:rPr>
          <w:rFonts w:ascii="Times New Roman" w:hAnsi="Times New Roman"/>
          <w:b w:val="0"/>
          <w:position w:val="8"/>
          <w:sz w:val="28"/>
        </w:rPr>
        <w:t>®</w:t>
      </w:r>
      <w:r w:rsidR="00D607D3" w:rsidRPr="00F86CEE">
        <w:rPr>
          <w:rFonts w:ascii="Times New Roman" w:hAnsi="Times New Roman"/>
          <w:sz w:val="28"/>
        </w:rPr>
        <w:t xml:space="preserve"> </w:t>
      </w:r>
    </w:p>
    <w:p w:rsidR="007C5951" w:rsidRPr="00F86CEE" w:rsidRDefault="007C5951" w:rsidP="007D56CC">
      <w:pPr>
        <w:pStyle w:val="a5"/>
        <w:rPr>
          <w:rFonts w:ascii="Times New Roman" w:hAnsi="Times New Roman"/>
          <w:sz w:val="28"/>
        </w:rPr>
      </w:pPr>
    </w:p>
    <w:p w:rsidR="00D75028" w:rsidRPr="00F86CEE" w:rsidRDefault="00112259" w:rsidP="000C2ED3">
      <w:pPr>
        <w:jc w:val="both"/>
        <w:rPr>
          <w:b/>
          <w:sz w:val="28"/>
          <w:szCs w:val="28"/>
        </w:rPr>
      </w:pPr>
      <w:r w:rsidRPr="00F86CEE">
        <w:rPr>
          <w:b/>
          <w:sz w:val="28"/>
          <w:szCs w:val="28"/>
        </w:rPr>
        <w:t xml:space="preserve">Торговое название </w:t>
      </w:r>
      <w:r w:rsidR="000C2ED3" w:rsidRPr="00F86CEE">
        <w:rPr>
          <w:b/>
          <w:sz w:val="28"/>
          <w:szCs w:val="28"/>
        </w:rPr>
        <w:t xml:space="preserve"> </w:t>
      </w:r>
      <w:r w:rsidR="003F2096" w:rsidRPr="00F86CEE">
        <w:rPr>
          <w:b/>
          <w:sz w:val="28"/>
          <w:szCs w:val="28"/>
        </w:rPr>
        <w:t xml:space="preserve"> </w:t>
      </w:r>
      <w:r w:rsidR="00D76D73" w:rsidRPr="00DA60CD">
        <w:rPr>
          <w:b/>
          <w:sz w:val="28"/>
          <w:szCs w:val="28"/>
        </w:rPr>
        <w:t xml:space="preserve">        </w:t>
      </w:r>
    </w:p>
    <w:p w:rsidR="007D56CC" w:rsidRPr="00F86CEE" w:rsidRDefault="00112259" w:rsidP="000C2ED3">
      <w:pPr>
        <w:jc w:val="both"/>
        <w:rPr>
          <w:sz w:val="28"/>
          <w:szCs w:val="28"/>
        </w:rPr>
      </w:pPr>
      <w:r w:rsidRPr="00F86CEE">
        <w:rPr>
          <w:sz w:val="28"/>
        </w:rPr>
        <w:t>Пипольфен</w:t>
      </w:r>
      <w:r w:rsidR="007B12FA" w:rsidRPr="00F86CEE">
        <w:rPr>
          <w:sz w:val="28"/>
          <w:vertAlign w:val="superscript"/>
        </w:rPr>
        <w:t>®</w:t>
      </w:r>
      <w:r w:rsidRPr="00F86CEE">
        <w:rPr>
          <w:sz w:val="28"/>
        </w:rPr>
        <w:t xml:space="preserve">  </w:t>
      </w:r>
    </w:p>
    <w:p w:rsidR="00D75028" w:rsidRPr="00F86CEE" w:rsidRDefault="00D75028" w:rsidP="000C2ED3">
      <w:pPr>
        <w:jc w:val="both"/>
        <w:rPr>
          <w:b/>
          <w:sz w:val="28"/>
          <w:szCs w:val="28"/>
        </w:rPr>
      </w:pPr>
    </w:p>
    <w:p w:rsidR="00D75028" w:rsidRPr="00F86CEE" w:rsidRDefault="00112259" w:rsidP="000C2ED3">
      <w:pPr>
        <w:jc w:val="both"/>
        <w:rPr>
          <w:sz w:val="28"/>
          <w:szCs w:val="28"/>
          <w:lang w:val="kk-KZ"/>
        </w:rPr>
      </w:pPr>
      <w:r w:rsidRPr="00F86CEE">
        <w:rPr>
          <w:b/>
          <w:sz w:val="28"/>
          <w:szCs w:val="28"/>
        </w:rPr>
        <w:t>М</w:t>
      </w:r>
      <w:r w:rsidR="003126AA" w:rsidRPr="00F86CEE">
        <w:rPr>
          <w:b/>
          <w:sz w:val="28"/>
          <w:szCs w:val="28"/>
        </w:rPr>
        <w:t xml:space="preserve">еждународное </w:t>
      </w:r>
      <w:r w:rsidR="00A80FFD" w:rsidRPr="00F86CEE">
        <w:rPr>
          <w:b/>
          <w:sz w:val="28"/>
          <w:szCs w:val="28"/>
        </w:rPr>
        <w:t>непатентованное</w:t>
      </w:r>
      <w:r w:rsidR="003126AA" w:rsidRPr="00F86CEE">
        <w:rPr>
          <w:b/>
          <w:sz w:val="28"/>
          <w:szCs w:val="28"/>
        </w:rPr>
        <w:t xml:space="preserve"> название</w:t>
      </w:r>
      <w:r w:rsidR="000C2ED3" w:rsidRPr="00F86CEE">
        <w:rPr>
          <w:b/>
          <w:sz w:val="28"/>
          <w:szCs w:val="28"/>
        </w:rPr>
        <w:t xml:space="preserve">  </w:t>
      </w:r>
      <w:r w:rsidR="003126AA" w:rsidRPr="00F86CEE">
        <w:rPr>
          <w:sz w:val="28"/>
          <w:szCs w:val="28"/>
          <w:lang w:val="kk-KZ"/>
        </w:rPr>
        <w:t xml:space="preserve"> </w:t>
      </w:r>
    </w:p>
    <w:p w:rsidR="00E3068D" w:rsidRPr="00F86CEE" w:rsidRDefault="00112259" w:rsidP="000C2ED3">
      <w:pPr>
        <w:jc w:val="both"/>
        <w:rPr>
          <w:sz w:val="28"/>
          <w:szCs w:val="28"/>
        </w:rPr>
      </w:pPr>
      <w:r w:rsidRPr="00F86CEE">
        <w:rPr>
          <w:sz w:val="28"/>
          <w:szCs w:val="28"/>
          <w:lang w:val="kk-KZ"/>
        </w:rPr>
        <w:t xml:space="preserve">Прометазин </w:t>
      </w:r>
    </w:p>
    <w:p w:rsidR="00E3068D" w:rsidRPr="00F86CEE" w:rsidRDefault="00E3068D" w:rsidP="000C2ED3">
      <w:pPr>
        <w:jc w:val="both"/>
        <w:rPr>
          <w:b/>
          <w:sz w:val="28"/>
          <w:szCs w:val="28"/>
        </w:rPr>
      </w:pPr>
    </w:p>
    <w:p w:rsidR="00A80FFD" w:rsidRPr="00F86CEE" w:rsidRDefault="00112259" w:rsidP="000C2ED3">
      <w:pPr>
        <w:jc w:val="both"/>
        <w:rPr>
          <w:b/>
          <w:sz w:val="28"/>
          <w:szCs w:val="28"/>
        </w:rPr>
      </w:pPr>
      <w:r w:rsidRPr="00F86CEE">
        <w:rPr>
          <w:b/>
          <w:sz w:val="28"/>
          <w:szCs w:val="28"/>
        </w:rPr>
        <w:t>Лекарственная форма</w:t>
      </w:r>
    </w:p>
    <w:p w:rsidR="00A80FFD" w:rsidRPr="00F86CEE" w:rsidRDefault="00112259" w:rsidP="000C2ED3">
      <w:pPr>
        <w:jc w:val="both"/>
        <w:rPr>
          <w:sz w:val="28"/>
          <w:szCs w:val="28"/>
        </w:rPr>
      </w:pPr>
      <w:r w:rsidRPr="00F86CEE">
        <w:rPr>
          <w:sz w:val="28"/>
        </w:rPr>
        <w:t>Раствор для инъекций</w:t>
      </w:r>
      <w:r w:rsidR="00D3002B" w:rsidRPr="00F86CEE">
        <w:rPr>
          <w:sz w:val="28"/>
        </w:rPr>
        <w:t xml:space="preserve"> </w:t>
      </w:r>
      <w:r w:rsidR="00D93156" w:rsidRPr="00F86CEE">
        <w:rPr>
          <w:sz w:val="28"/>
        </w:rPr>
        <w:t>25</w:t>
      </w:r>
      <w:r w:rsidR="00D3002B" w:rsidRPr="00F86CEE">
        <w:rPr>
          <w:sz w:val="28"/>
        </w:rPr>
        <w:t xml:space="preserve"> мг/мл</w:t>
      </w:r>
      <w:r w:rsidR="00642C8B" w:rsidRPr="00F86CEE">
        <w:rPr>
          <w:sz w:val="28"/>
        </w:rPr>
        <w:t>, 2 мл</w:t>
      </w:r>
    </w:p>
    <w:p w:rsidR="00A80FFD" w:rsidRPr="00F86CEE" w:rsidRDefault="00A80FFD" w:rsidP="000C2ED3">
      <w:pPr>
        <w:jc w:val="both"/>
        <w:rPr>
          <w:b/>
          <w:sz w:val="28"/>
          <w:szCs w:val="28"/>
        </w:rPr>
      </w:pPr>
    </w:p>
    <w:p w:rsidR="009D57D6" w:rsidRPr="00F86CEE" w:rsidRDefault="00112259" w:rsidP="000C2ED3">
      <w:pPr>
        <w:jc w:val="both"/>
        <w:rPr>
          <w:b/>
          <w:sz w:val="28"/>
          <w:szCs w:val="28"/>
        </w:rPr>
      </w:pPr>
      <w:r w:rsidRPr="00F86CEE">
        <w:rPr>
          <w:b/>
          <w:sz w:val="28"/>
          <w:szCs w:val="28"/>
        </w:rPr>
        <w:t xml:space="preserve">Состав </w:t>
      </w:r>
    </w:p>
    <w:p w:rsidR="00F50B37" w:rsidRPr="00F86CEE" w:rsidRDefault="00112259" w:rsidP="000C2ED3">
      <w:pPr>
        <w:jc w:val="both"/>
        <w:rPr>
          <w:sz w:val="28"/>
        </w:rPr>
      </w:pPr>
      <w:r w:rsidRPr="00F86CEE">
        <w:rPr>
          <w:sz w:val="28"/>
        </w:rPr>
        <w:t>1</w:t>
      </w:r>
      <w:r w:rsidR="00BC3AA3" w:rsidRPr="00F86CEE">
        <w:rPr>
          <w:sz w:val="28"/>
        </w:rPr>
        <w:t>мл раствора содерж</w:t>
      </w:r>
      <w:r w:rsidRPr="00F86CEE">
        <w:rPr>
          <w:sz w:val="28"/>
        </w:rPr>
        <w:t>и</w:t>
      </w:r>
      <w:r w:rsidR="00BC3AA3" w:rsidRPr="00F86CEE">
        <w:rPr>
          <w:sz w:val="28"/>
        </w:rPr>
        <w:t>т</w:t>
      </w:r>
    </w:p>
    <w:p w:rsidR="00E3068D" w:rsidRPr="00F86CEE" w:rsidRDefault="00112259" w:rsidP="000C2ED3">
      <w:pPr>
        <w:jc w:val="both"/>
        <w:rPr>
          <w:sz w:val="28"/>
          <w:u w:val="single"/>
        </w:rPr>
      </w:pPr>
      <w:r w:rsidRPr="00F86CEE">
        <w:rPr>
          <w:i/>
          <w:sz w:val="28"/>
        </w:rPr>
        <w:t>а</w:t>
      </w:r>
      <w:r w:rsidR="00D75028" w:rsidRPr="00F86CEE">
        <w:rPr>
          <w:i/>
          <w:sz w:val="28"/>
        </w:rPr>
        <w:t xml:space="preserve">ктивное </w:t>
      </w:r>
      <w:r w:rsidR="006C30C5" w:rsidRPr="00F86CEE">
        <w:rPr>
          <w:i/>
          <w:sz w:val="28"/>
        </w:rPr>
        <w:t xml:space="preserve"> вещество</w:t>
      </w:r>
      <w:r w:rsidR="00D3002B" w:rsidRPr="00F86CEE">
        <w:rPr>
          <w:sz w:val="28"/>
        </w:rPr>
        <w:t xml:space="preserve"> - </w:t>
      </w:r>
      <w:r w:rsidR="003126AA" w:rsidRPr="00F86CEE">
        <w:rPr>
          <w:sz w:val="28"/>
        </w:rPr>
        <w:t xml:space="preserve"> прометазина гидрохлорид </w:t>
      </w:r>
      <w:r w:rsidR="00B7642E" w:rsidRPr="00F86CEE">
        <w:rPr>
          <w:sz w:val="28"/>
        </w:rPr>
        <w:t>25</w:t>
      </w:r>
      <w:r w:rsidR="003126AA" w:rsidRPr="00F86CEE">
        <w:rPr>
          <w:sz w:val="28"/>
        </w:rPr>
        <w:t xml:space="preserve"> мг</w:t>
      </w:r>
      <w:r w:rsidRPr="00F86CEE">
        <w:rPr>
          <w:sz w:val="28"/>
        </w:rPr>
        <w:t>,</w:t>
      </w:r>
    </w:p>
    <w:p w:rsidR="00E3068D" w:rsidRPr="00F86CEE" w:rsidRDefault="00112259" w:rsidP="000C2ED3">
      <w:pPr>
        <w:jc w:val="both"/>
        <w:rPr>
          <w:sz w:val="28"/>
          <w:u w:val="single"/>
        </w:rPr>
      </w:pPr>
      <w:r w:rsidRPr="00F86CEE">
        <w:rPr>
          <w:i/>
          <w:sz w:val="28"/>
        </w:rPr>
        <w:t>в</w:t>
      </w:r>
      <w:r w:rsidR="006C30C5" w:rsidRPr="00F86CEE">
        <w:rPr>
          <w:i/>
          <w:sz w:val="28"/>
        </w:rPr>
        <w:t>спомогательные вещества</w:t>
      </w:r>
      <w:r w:rsidR="003126AA" w:rsidRPr="00F86CEE">
        <w:rPr>
          <w:sz w:val="28"/>
        </w:rPr>
        <w:t>: г</w:t>
      </w:r>
      <w:r w:rsidR="00D607D3" w:rsidRPr="00F86CEE">
        <w:rPr>
          <w:sz w:val="28"/>
        </w:rPr>
        <w:t xml:space="preserve">идрохинон, </w:t>
      </w:r>
      <w:r w:rsidR="004E01D7" w:rsidRPr="00F86CEE">
        <w:rPr>
          <w:sz w:val="28"/>
        </w:rPr>
        <w:t xml:space="preserve">калия </w:t>
      </w:r>
      <w:r w:rsidR="003126AA" w:rsidRPr="00F86CEE">
        <w:rPr>
          <w:sz w:val="28"/>
        </w:rPr>
        <w:t>пиросульфит</w:t>
      </w:r>
      <w:r w:rsidR="00D607D3" w:rsidRPr="00F86CEE">
        <w:rPr>
          <w:sz w:val="28"/>
        </w:rPr>
        <w:t xml:space="preserve">, </w:t>
      </w:r>
      <w:r w:rsidR="004E01D7" w:rsidRPr="00F86CEE">
        <w:rPr>
          <w:sz w:val="28"/>
        </w:rPr>
        <w:t xml:space="preserve">натрия </w:t>
      </w:r>
      <w:r w:rsidR="00D607D3" w:rsidRPr="00F86CEE">
        <w:rPr>
          <w:sz w:val="28"/>
        </w:rPr>
        <w:t>сульфит</w:t>
      </w:r>
      <w:r w:rsidR="004E01D7" w:rsidRPr="00F86CEE">
        <w:rPr>
          <w:sz w:val="28"/>
        </w:rPr>
        <w:t xml:space="preserve"> безводный</w:t>
      </w:r>
      <w:r w:rsidR="00D607D3" w:rsidRPr="00F86CEE">
        <w:rPr>
          <w:sz w:val="28"/>
        </w:rPr>
        <w:t xml:space="preserve">, </w:t>
      </w:r>
      <w:r w:rsidR="004E01D7" w:rsidRPr="00F86CEE">
        <w:rPr>
          <w:sz w:val="28"/>
        </w:rPr>
        <w:t xml:space="preserve">натрия </w:t>
      </w:r>
      <w:r w:rsidR="00D607D3" w:rsidRPr="00F86CEE">
        <w:rPr>
          <w:sz w:val="28"/>
        </w:rPr>
        <w:t>хлорид, вода для инъекций.</w:t>
      </w:r>
      <w:r w:rsidR="00D607D3" w:rsidRPr="00F86CEE">
        <w:rPr>
          <w:sz w:val="28"/>
          <w:u w:val="single"/>
        </w:rPr>
        <w:t xml:space="preserve"> </w:t>
      </w:r>
    </w:p>
    <w:p w:rsidR="00D75028" w:rsidRPr="00F86CEE" w:rsidRDefault="00D75028" w:rsidP="00A80FFD">
      <w:pPr>
        <w:jc w:val="both"/>
        <w:rPr>
          <w:i/>
          <w:sz w:val="28"/>
        </w:rPr>
      </w:pPr>
    </w:p>
    <w:p w:rsidR="00D75028" w:rsidRPr="00F86CEE" w:rsidRDefault="00112259" w:rsidP="00A80FFD">
      <w:pPr>
        <w:jc w:val="both"/>
        <w:rPr>
          <w:b/>
          <w:sz w:val="28"/>
        </w:rPr>
      </w:pPr>
      <w:r w:rsidRPr="00F86CEE">
        <w:rPr>
          <w:b/>
          <w:sz w:val="28"/>
        </w:rPr>
        <w:t>Описание</w:t>
      </w:r>
    </w:p>
    <w:p w:rsidR="006C30C5" w:rsidRPr="00F86CEE" w:rsidRDefault="00112259" w:rsidP="000C2ED3">
      <w:pPr>
        <w:jc w:val="both"/>
        <w:rPr>
          <w:sz w:val="28"/>
          <w:szCs w:val="28"/>
        </w:rPr>
      </w:pPr>
      <w:r w:rsidRPr="00F86CEE">
        <w:rPr>
          <w:sz w:val="28"/>
          <w:szCs w:val="28"/>
        </w:rPr>
        <w:t>Прозрачный бесцветный или с зеленоватым оттенком</w:t>
      </w:r>
      <w:r w:rsidR="001B7E14" w:rsidRPr="00F86CEE">
        <w:rPr>
          <w:sz w:val="28"/>
          <w:szCs w:val="28"/>
        </w:rPr>
        <w:t xml:space="preserve"> раствор,</w:t>
      </w:r>
      <w:r w:rsidR="00D3002B" w:rsidRPr="00F86CEE">
        <w:rPr>
          <w:sz w:val="28"/>
          <w:szCs w:val="28"/>
        </w:rPr>
        <w:t xml:space="preserve"> без запаха</w:t>
      </w:r>
      <w:r w:rsidRPr="00F86CEE">
        <w:rPr>
          <w:sz w:val="28"/>
          <w:szCs w:val="28"/>
        </w:rPr>
        <w:t>.</w:t>
      </w:r>
    </w:p>
    <w:p w:rsidR="001B7E14" w:rsidRPr="00F86CEE" w:rsidRDefault="001B7E14" w:rsidP="000C2ED3">
      <w:pPr>
        <w:jc w:val="both"/>
        <w:rPr>
          <w:b/>
          <w:sz w:val="28"/>
          <w:szCs w:val="28"/>
        </w:rPr>
      </w:pPr>
    </w:p>
    <w:p w:rsidR="000C2ED3" w:rsidRPr="00F86CEE" w:rsidRDefault="00112259" w:rsidP="000C2ED3">
      <w:pPr>
        <w:jc w:val="both"/>
        <w:rPr>
          <w:b/>
          <w:sz w:val="28"/>
        </w:rPr>
      </w:pPr>
      <w:r w:rsidRPr="00F86CEE">
        <w:rPr>
          <w:b/>
          <w:sz w:val="28"/>
        </w:rPr>
        <w:t>Фармакотерапевтическая группа</w:t>
      </w:r>
    </w:p>
    <w:p w:rsidR="00026D70" w:rsidRPr="00F86CEE" w:rsidRDefault="00112259" w:rsidP="00026D70">
      <w:pPr>
        <w:jc w:val="both"/>
        <w:rPr>
          <w:sz w:val="28"/>
          <w:szCs w:val="28"/>
        </w:rPr>
      </w:pPr>
      <w:r w:rsidRPr="00AF4A4D">
        <w:rPr>
          <w:sz w:val="28"/>
          <w:szCs w:val="28"/>
          <w:lang w:val="kk-KZ"/>
        </w:rPr>
        <w:t>Респираторная система.</w:t>
      </w:r>
      <w:r>
        <w:rPr>
          <w:color w:val="FF0000"/>
          <w:sz w:val="28"/>
          <w:szCs w:val="28"/>
          <w:lang w:val="kk-KZ"/>
        </w:rPr>
        <w:t xml:space="preserve"> </w:t>
      </w:r>
      <w:r w:rsidR="005F6F0A" w:rsidRPr="00F86CEE">
        <w:rPr>
          <w:sz w:val="28"/>
          <w:szCs w:val="28"/>
        </w:rPr>
        <w:t xml:space="preserve">Антигистаминные </w:t>
      </w:r>
      <w:r w:rsidR="00642C8B" w:rsidRPr="00F86CEE">
        <w:rPr>
          <w:sz w:val="28"/>
          <w:szCs w:val="28"/>
        </w:rPr>
        <w:t>препараты</w:t>
      </w:r>
      <w:r w:rsidR="005F6F0A" w:rsidRPr="00F86CEE">
        <w:rPr>
          <w:sz w:val="28"/>
          <w:szCs w:val="28"/>
        </w:rPr>
        <w:t xml:space="preserve"> системного </w:t>
      </w:r>
      <w:r w:rsidR="00642C8B" w:rsidRPr="00F86CEE">
        <w:rPr>
          <w:sz w:val="28"/>
          <w:szCs w:val="28"/>
        </w:rPr>
        <w:t>действия</w:t>
      </w:r>
      <w:r w:rsidR="005F6F0A" w:rsidRPr="00F86CEE">
        <w:rPr>
          <w:sz w:val="28"/>
          <w:szCs w:val="28"/>
        </w:rPr>
        <w:t xml:space="preserve">. </w:t>
      </w:r>
      <w:r w:rsidR="00642C8B" w:rsidRPr="00F86CEE">
        <w:rPr>
          <w:sz w:val="28"/>
          <w:szCs w:val="28"/>
        </w:rPr>
        <w:t>Фенотиазина п</w:t>
      </w:r>
      <w:r w:rsidR="005F6F0A" w:rsidRPr="00F86CEE">
        <w:rPr>
          <w:sz w:val="28"/>
          <w:szCs w:val="28"/>
        </w:rPr>
        <w:t xml:space="preserve">роизводные. </w:t>
      </w:r>
      <w:r w:rsidR="00D607D3" w:rsidRPr="00F86CEE">
        <w:rPr>
          <w:sz w:val="28"/>
          <w:szCs w:val="28"/>
          <w:lang w:val="kk-KZ"/>
        </w:rPr>
        <w:t xml:space="preserve">Прометазин </w:t>
      </w:r>
    </w:p>
    <w:p w:rsidR="005F6F0A" w:rsidRPr="00F86CEE" w:rsidRDefault="00112259" w:rsidP="005F6F0A">
      <w:pPr>
        <w:jc w:val="both"/>
        <w:rPr>
          <w:sz w:val="28"/>
          <w:szCs w:val="28"/>
        </w:rPr>
      </w:pPr>
      <w:r>
        <w:rPr>
          <w:sz w:val="28"/>
          <w:szCs w:val="28"/>
        </w:rPr>
        <w:t xml:space="preserve">Код </w:t>
      </w:r>
      <w:r w:rsidR="00D607D3" w:rsidRPr="00F86CEE">
        <w:rPr>
          <w:sz w:val="28"/>
          <w:szCs w:val="28"/>
        </w:rPr>
        <w:t>AT</w:t>
      </w:r>
      <w:r w:rsidR="00B7642E" w:rsidRPr="00F86CEE">
        <w:rPr>
          <w:sz w:val="28"/>
          <w:szCs w:val="28"/>
        </w:rPr>
        <w:t>Х</w:t>
      </w:r>
      <w:r>
        <w:rPr>
          <w:sz w:val="28"/>
          <w:szCs w:val="28"/>
        </w:rPr>
        <w:t xml:space="preserve"> </w:t>
      </w:r>
      <w:r w:rsidR="00D607D3" w:rsidRPr="00F86CEE">
        <w:rPr>
          <w:sz w:val="28"/>
          <w:szCs w:val="28"/>
        </w:rPr>
        <w:t>R06A D02</w:t>
      </w:r>
    </w:p>
    <w:p w:rsidR="00D75028" w:rsidRPr="00F86CEE" w:rsidRDefault="00D75028" w:rsidP="00A80FFD">
      <w:pPr>
        <w:jc w:val="both"/>
        <w:rPr>
          <w:b/>
          <w:sz w:val="28"/>
          <w:lang w:val="kk-KZ"/>
        </w:rPr>
      </w:pPr>
    </w:p>
    <w:p w:rsidR="00A80FFD" w:rsidRPr="00F86CEE" w:rsidRDefault="00112259" w:rsidP="00A80FFD">
      <w:pPr>
        <w:jc w:val="both"/>
        <w:rPr>
          <w:b/>
          <w:sz w:val="28"/>
          <w:lang w:val="kk-KZ"/>
        </w:rPr>
      </w:pPr>
      <w:r w:rsidRPr="00F86CEE">
        <w:rPr>
          <w:b/>
          <w:sz w:val="28"/>
          <w:lang w:val="kk-KZ"/>
        </w:rPr>
        <w:t>Фармакологические свойства</w:t>
      </w:r>
    </w:p>
    <w:p w:rsidR="00A80FFD" w:rsidRPr="00F86CEE" w:rsidRDefault="00112259" w:rsidP="00A80FFD">
      <w:pPr>
        <w:jc w:val="both"/>
        <w:rPr>
          <w:b/>
          <w:i/>
          <w:sz w:val="28"/>
        </w:rPr>
      </w:pPr>
      <w:r w:rsidRPr="00F86CEE">
        <w:rPr>
          <w:b/>
          <w:i/>
          <w:sz w:val="28"/>
        </w:rPr>
        <w:t>Фармакокинетика</w:t>
      </w:r>
    </w:p>
    <w:p w:rsidR="00A80FFD" w:rsidRPr="00F86CEE" w:rsidRDefault="00112259" w:rsidP="00A80FFD">
      <w:pPr>
        <w:jc w:val="both"/>
        <w:rPr>
          <w:sz w:val="28"/>
        </w:rPr>
      </w:pPr>
      <w:r w:rsidRPr="00F86CEE">
        <w:rPr>
          <w:sz w:val="28"/>
        </w:rPr>
        <w:t>После внутримышечного и внутривенного введения к</w:t>
      </w:r>
      <w:r w:rsidR="00D607D3" w:rsidRPr="00F86CEE">
        <w:rPr>
          <w:sz w:val="28"/>
        </w:rPr>
        <w:t>линические эффекты проявляются в течен</w:t>
      </w:r>
      <w:r w:rsidR="008327CE">
        <w:rPr>
          <w:sz w:val="28"/>
        </w:rPr>
        <w:t>ие 20 и 3-5 минут</w:t>
      </w:r>
      <w:r w:rsidR="008327CE" w:rsidRPr="008327CE">
        <w:rPr>
          <w:sz w:val="28"/>
        </w:rPr>
        <w:t xml:space="preserve">. </w:t>
      </w:r>
      <w:r w:rsidR="006E4B2B" w:rsidRPr="00F86CEE">
        <w:rPr>
          <w:sz w:val="28"/>
        </w:rPr>
        <w:t xml:space="preserve">Эффект обычно продолжается в течение 4-6 часов после приема внутрь, но может сохраняться и на протяжении 12 часов. </w:t>
      </w:r>
      <w:r w:rsidR="00D607D3" w:rsidRPr="00F86CEE">
        <w:rPr>
          <w:sz w:val="28"/>
        </w:rPr>
        <w:t xml:space="preserve">Связывание с белками </w:t>
      </w:r>
      <w:r w:rsidR="000C3617" w:rsidRPr="00F86CEE">
        <w:rPr>
          <w:sz w:val="28"/>
        </w:rPr>
        <w:t xml:space="preserve">плазмы крови </w:t>
      </w:r>
      <w:r w:rsidR="00BC3AA3" w:rsidRPr="00F86CEE">
        <w:rPr>
          <w:sz w:val="28"/>
        </w:rPr>
        <w:t xml:space="preserve">- </w:t>
      </w:r>
      <w:r w:rsidR="00D607D3" w:rsidRPr="00F86CEE">
        <w:rPr>
          <w:sz w:val="28"/>
        </w:rPr>
        <w:t>65-90%. Прометазин подвергается интенсивному метаболизму в печени. Его метаболиты выводятся</w:t>
      </w:r>
      <w:r w:rsidRPr="00F86CEE">
        <w:rPr>
          <w:sz w:val="28"/>
        </w:rPr>
        <w:t xml:space="preserve">, прежде всего, </w:t>
      </w:r>
      <w:r w:rsidR="00D607D3" w:rsidRPr="00F86CEE">
        <w:rPr>
          <w:sz w:val="28"/>
        </w:rPr>
        <w:t>почками. Период полувыведения – 7-14 часов.</w:t>
      </w:r>
    </w:p>
    <w:p w:rsidR="00FD52D3" w:rsidRPr="00F86CEE" w:rsidRDefault="00FD52D3" w:rsidP="00A80FFD">
      <w:pPr>
        <w:jc w:val="both"/>
        <w:rPr>
          <w:sz w:val="28"/>
        </w:rPr>
      </w:pPr>
    </w:p>
    <w:p w:rsidR="00E3068D" w:rsidRPr="00F86CEE" w:rsidRDefault="00112259" w:rsidP="000C2ED3">
      <w:pPr>
        <w:jc w:val="both"/>
        <w:rPr>
          <w:b/>
          <w:i/>
          <w:sz w:val="28"/>
          <w:lang w:val="kk-KZ"/>
        </w:rPr>
      </w:pPr>
      <w:r w:rsidRPr="00F86CEE">
        <w:rPr>
          <w:b/>
          <w:i/>
          <w:sz w:val="28"/>
          <w:lang w:val="kk-KZ"/>
        </w:rPr>
        <w:t>Фармакодинамика</w:t>
      </w:r>
    </w:p>
    <w:p w:rsidR="00A80FFD" w:rsidRPr="00F86CEE" w:rsidRDefault="00112259" w:rsidP="006E4B2B">
      <w:pPr>
        <w:tabs>
          <w:tab w:val="left" w:pos="0"/>
        </w:tabs>
        <w:jc w:val="both"/>
        <w:rPr>
          <w:sz w:val="28"/>
          <w:szCs w:val="28"/>
          <w:lang w:val="kk-KZ"/>
        </w:rPr>
      </w:pPr>
      <w:r w:rsidRPr="00F86CEE">
        <w:rPr>
          <w:sz w:val="28"/>
          <w:szCs w:val="28"/>
        </w:rPr>
        <w:t>Прометазин, активный компонент препарата,</w:t>
      </w:r>
      <w:r w:rsidR="009A67FD" w:rsidRPr="00F86CEE">
        <w:rPr>
          <w:rFonts w:eastAsia="Calibri"/>
          <w:lang w:eastAsia="en-US"/>
        </w:rPr>
        <w:t xml:space="preserve"> </w:t>
      </w:r>
      <w:r w:rsidR="009A67FD" w:rsidRPr="00F86CEE">
        <w:rPr>
          <w:sz w:val="28"/>
          <w:szCs w:val="28"/>
        </w:rPr>
        <w:t>является производным фенотиазина.</w:t>
      </w:r>
      <w:r w:rsidRPr="00F86CEE">
        <w:rPr>
          <w:sz w:val="28"/>
          <w:szCs w:val="28"/>
        </w:rPr>
        <w:t xml:space="preserve"> </w:t>
      </w:r>
      <w:r w:rsidR="009A67FD" w:rsidRPr="00F86CEE">
        <w:rPr>
          <w:sz w:val="28"/>
          <w:szCs w:val="28"/>
        </w:rPr>
        <w:t xml:space="preserve">Он </w:t>
      </w:r>
      <w:r w:rsidRPr="00F86CEE">
        <w:rPr>
          <w:sz w:val="28"/>
          <w:szCs w:val="28"/>
        </w:rPr>
        <w:t xml:space="preserve">имеет отличную от антипсихотических фенотиазинов молекулярную структуру, что объясняет его более низкую антипсихотическую активность. </w:t>
      </w:r>
      <w:r w:rsidR="006E4B2B" w:rsidRPr="00F86CEE">
        <w:rPr>
          <w:sz w:val="28"/>
          <w:szCs w:val="28"/>
        </w:rPr>
        <w:t xml:space="preserve">Прометазин </w:t>
      </w:r>
      <w:r w:rsidRPr="00F86CEE">
        <w:rPr>
          <w:sz w:val="28"/>
          <w:szCs w:val="28"/>
        </w:rPr>
        <w:t xml:space="preserve">является </w:t>
      </w:r>
      <w:r w:rsidR="006E4B2B" w:rsidRPr="00F86CEE">
        <w:rPr>
          <w:sz w:val="28"/>
          <w:szCs w:val="28"/>
        </w:rPr>
        <w:t>эффективным</w:t>
      </w:r>
      <w:r w:rsidRPr="00F86CEE">
        <w:rPr>
          <w:sz w:val="28"/>
          <w:szCs w:val="28"/>
        </w:rPr>
        <w:t xml:space="preserve"> блокатором </w:t>
      </w:r>
      <w:r w:rsidR="006E4B2B" w:rsidRPr="00F86CEE">
        <w:rPr>
          <w:sz w:val="28"/>
          <w:szCs w:val="28"/>
        </w:rPr>
        <w:t xml:space="preserve">рецепторов </w:t>
      </w:r>
      <w:r w:rsidRPr="00F86CEE">
        <w:rPr>
          <w:sz w:val="28"/>
          <w:szCs w:val="28"/>
        </w:rPr>
        <w:t>H</w:t>
      </w:r>
      <w:r w:rsidRPr="00F86CEE">
        <w:rPr>
          <w:sz w:val="28"/>
          <w:szCs w:val="28"/>
          <w:vertAlign w:val="subscript"/>
        </w:rPr>
        <w:t>1</w:t>
      </w:r>
      <w:r w:rsidR="006E4B2B" w:rsidRPr="00F86CEE">
        <w:rPr>
          <w:sz w:val="28"/>
          <w:szCs w:val="28"/>
        </w:rPr>
        <w:t>,</w:t>
      </w:r>
      <w:r w:rsidR="00F23D53" w:rsidRPr="00F86CEE">
        <w:rPr>
          <w:sz w:val="28"/>
          <w:szCs w:val="28"/>
        </w:rPr>
        <w:t xml:space="preserve"> </w:t>
      </w:r>
      <w:r w:rsidRPr="00F86CEE">
        <w:rPr>
          <w:sz w:val="28"/>
          <w:szCs w:val="28"/>
        </w:rPr>
        <w:t xml:space="preserve">противорвотным и седативным </w:t>
      </w:r>
      <w:r w:rsidR="006E4B2B" w:rsidRPr="00F86CEE">
        <w:rPr>
          <w:sz w:val="28"/>
          <w:szCs w:val="28"/>
        </w:rPr>
        <w:t>препаратом, также эффективным при головокружении</w:t>
      </w:r>
      <w:r w:rsidR="009A67FD" w:rsidRPr="00F86CEE">
        <w:rPr>
          <w:rFonts w:eastAsia="Calibri"/>
          <w:lang w:eastAsia="en-US"/>
        </w:rPr>
        <w:t xml:space="preserve"> </w:t>
      </w:r>
      <w:r w:rsidR="009A67FD" w:rsidRPr="00F86CEE">
        <w:rPr>
          <w:sz w:val="28"/>
          <w:szCs w:val="28"/>
        </w:rPr>
        <w:t xml:space="preserve">центрального типа (вертиго). </w:t>
      </w:r>
      <w:r w:rsidRPr="00F86CEE">
        <w:rPr>
          <w:sz w:val="28"/>
          <w:szCs w:val="28"/>
        </w:rPr>
        <w:t xml:space="preserve">Противорвотное действие прометазина обусловлено его центральным антихолинергическим эффектом, снижением возбудимости вестибулярной системы, подавлением функции лабиринта, а также прямым тормозным эффектом на триггерные хеморецепторные зоны продолговатого мозга. </w:t>
      </w:r>
      <w:r w:rsidR="006E4B2B" w:rsidRPr="00F86CEE">
        <w:rPr>
          <w:sz w:val="28"/>
          <w:szCs w:val="28"/>
        </w:rPr>
        <w:t>Седативно-снотворный эффект прометазина связан с блокадой гистаминовых, серотониновых и ацетилхолиновых рецепторов и стимуляцией альфа-адренергических рецепторов.</w:t>
      </w:r>
      <w:r w:rsidR="00464EEF" w:rsidRPr="00F86CEE">
        <w:rPr>
          <w:sz w:val="28"/>
          <w:szCs w:val="28"/>
          <w:lang w:val="kk-KZ"/>
        </w:rPr>
        <w:t xml:space="preserve">   </w:t>
      </w:r>
    </w:p>
    <w:p w:rsidR="006F4DFD" w:rsidRPr="00F86CEE" w:rsidRDefault="006F4DFD" w:rsidP="000C2ED3">
      <w:pPr>
        <w:jc w:val="both"/>
        <w:rPr>
          <w:b/>
          <w:i/>
          <w:sz w:val="28"/>
          <w:szCs w:val="28"/>
        </w:rPr>
      </w:pPr>
    </w:p>
    <w:p w:rsidR="00E3068D" w:rsidRPr="00F86CEE" w:rsidRDefault="00112259" w:rsidP="000C2ED3">
      <w:pPr>
        <w:jc w:val="both"/>
        <w:rPr>
          <w:b/>
          <w:sz w:val="28"/>
          <w:szCs w:val="28"/>
        </w:rPr>
      </w:pPr>
      <w:r w:rsidRPr="00F86CEE">
        <w:rPr>
          <w:b/>
          <w:sz w:val="28"/>
          <w:szCs w:val="28"/>
        </w:rPr>
        <w:t>Показания к применению</w:t>
      </w:r>
    </w:p>
    <w:p w:rsidR="00DC7D9F" w:rsidRPr="00F86CEE" w:rsidRDefault="00112259" w:rsidP="009A67FD">
      <w:pPr>
        <w:jc w:val="both"/>
        <w:rPr>
          <w:sz w:val="28"/>
          <w:szCs w:val="28"/>
        </w:rPr>
      </w:pPr>
      <w:r w:rsidRPr="00F86CEE">
        <w:rPr>
          <w:sz w:val="28"/>
          <w:szCs w:val="28"/>
        </w:rPr>
        <w:t>-</w:t>
      </w:r>
      <w:r w:rsidR="00D607D3" w:rsidRPr="00F86CEE">
        <w:rPr>
          <w:sz w:val="28"/>
          <w:szCs w:val="28"/>
        </w:rPr>
        <w:t xml:space="preserve">симптоматическое лечение аллергических состояний различного  происхождения (ринит, конъюнктивит, </w:t>
      </w:r>
      <w:r w:rsidR="00642C8B" w:rsidRPr="00F86CEE">
        <w:rPr>
          <w:sz w:val="28"/>
          <w:szCs w:val="28"/>
        </w:rPr>
        <w:t xml:space="preserve">крапивница, </w:t>
      </w:r>
      <w:r w:rsidR="00ED19AF" w:rsidRPr="00F86CEE">
        <w:rPr>
          <w:sz w:val="28"/>
          <w:szCs w:val="28"/>
        </w:rPr>
        <w:t xml:space="preserve">кожный зуд, дермографизм, </w:t>
      </w:r>
      <w:r w:rsidR="00D607D3" w:rsidRPr="00F86CEE">
        <w:rPr>
          <w:sz w:val="28"/>
          <w:szCs w:val="28"/>
        </w:rPr>
        <w:t xml:space="preserve">ангионевротический отек) </w:t>
      </w:r>
    </w:p>
    <w:p w:rsidR="00DC7D9F" w:rsidRPr="00F86CEE" w:rsidRDefault="00112259" w:rsidP="009A67FD">
      <w:pPr>
        <w:jc w:val="both"/>
        <w:rPr>
          <w:sz w:val="28"/>
          <w:szCs w:val="28"/>
        </w:rPr>
      </w:pPr>
      <w:r w:rsidRPr="00F86CEE">
        <w:rPr>
          <w:sz w:val="28"/>
          <w:szCs w:val="28"/>
        </w:rPr>
        <w:t xml:space="preserve">- в качестве вспомогательной терапии </w:t>
      </w:r>
      <w:r w:rsidR="00642C8B" w:rsidRPr="00F86CEE">
        <w:rPr>
          <w:sz w:val="28"/>
          <w:szCs w:val="28"/>
        </w:rPr>
        <w:t xml:space="preserve">анафилактических реакций: </w:t>
      </w:r>
      <w:r w:rsidRPr="00F86CEE">
        <w:rPr>
          <w:sz w:val="28"/>
          <w:szCs w:val="28"/>
        </w:rPr>
        <w:t>после начал</w:t>
      </w:r>
      <w:r w:rsidR="00642C8B" w:rsidRPr="00F86CEE">
        <w:rPr>
          <w:sz w:val="28"/>
          <w:szCs w:val="28"/>
        </w:rPr>
        <w:t>ьной</w:t>
      </w:r>
      <w:r w:rsidRPr="00F86CEE">
        <w:rPr>
          <w:sz w:val="28"/>
          <w:szCs w:val="28"/>
        </w:rPr>
        <w:t xml:space="preserve"> </w:t>
      </w:r>
      <w:r w:rsidR="00642C8B" w:rsidRPr="00F86CEE">
        <w:rPr>
          <w:sz w:val="28"/>
          <w:szCs w:val="28"/>
        </w:rPr>
        <w:t>терапии острых симптомов</w:t>
      </w:r>
      <w:r w:rsidRPr="00F86CEE">
        <w:rPr>
          <w:sz w:val="28"/>
          <w:szCs w:val="28"/>
        </w:rPr>
        <w:t xml:space="preserve"> другими </w:t>
      </w:r>
      <w:r w:rsidR="00642C8B" w:rsidRPr="00F86CEE">
        <w:rPr>
          <w:sz w:val="28"/>
          <w:szCs w:val="28"/>
        </w:rPr>
        <w:t>препаратами</w:t>
      </w:r>
      <w:r w:rsidR="00ED19AF" w:rsidRPr="00F86CEE">
        <w:rPr>
          <w:sz w:val="28"/>
          <w:szCs w:val="28"/>
        </w:rPr>
        <w:t>, например адреналином</w:t>
      </w:r>
      <w:r w:rsidRPr="00F86CEE">
        <w:rPr>
          <w:sz w:val="28"/>
          <w:szCs w:val="28"/>
        </w:rPr>
        <w:t xml:space="preserve">  </w:t>
      </w:r>
    </w:p>
    <w:p w:rsidR="00642C8B" w:rsidRPr="00F86CEE" w:rsidRDefault="00112259" w:rsidP="009A67FD">
      <w:pPr>
        <w:jc w:val="both"/>
        <w:rPr>
          <w:sz w:val="28"/>
          <w:szCs w:val="28"/>
        </w:rPr>
      </w:pPr>
      <w:r w:rsidRPr="00F86CEE">
        <w:rPr>
          <w:sz w:val="28"/>
          <w:szCs w:val="28"/>
        </w:rPr>
        <w:t>-  в качестве седативного средства в пред- и послеоперационный период</w:t>
      </w:r>
      <w:r w:rsidR="00D607D3" w:rsidRPr="00F86CEE">
        <w:rPr>
          <w:sz w:val="28"/>
          <w:szCs w:val="28"/>
        </w:rPr>
        <w:t>, а  также для достижения седативного эффекта в акушерстве</w:t>
      </w:r>
    </w:p>
    <w:p w:rsidR="009A67FD" w:rsidRPr="00F86CEE" w:rsidRDefault="00112259" w:rsidP="009A67FD">
      <w:pPr>
        <w:jc w:val="both"/>
        <w:rPr>
          <w:sz w:val="28"/>
          <w:szCs w:val="28"/>
        </w:rPr>
      </w:pPr>
      <w:r w:rsidRPr="00F86CEE">
        <w:rPr>
          <w:sz w:val="28"/>
          <w:szCs w:val="28"/>
        </w:rPr>
        <w:t>-  препарат может оказывать положительный эффект совместно с аналгетиками для снятия боли после операций (потенцирование эффекта аналгетиков)</w:t>
      </w:r>
    </w:p>
    <w:p w:rsidR="00DC7D9F" w:rsidRPr="00F86CEE" w:rsidRDefault="00112259" w:rsidP="009A67FD">
      <w:pPr>
        <w:jc w:val="both"/>
        <w:rPr>
          <w:sz w:val="28"/>
          <w:szCs w:val="28"/>
        </w:rPr>
      </w:pPr>
      <w:r w:rsidRPr="00F86CEE">
        <w:rPr>
          <w:sz w:val="28"/>
        </w:rPr>
        <w:t xml:space="preserve">- </w:t>
      </w:r>
      <w:r w:rsidR="008D0570" w:rsidRPr="00F86CEE">
        <w:rPr>
          <w:sz w:val="28"/>
          <w:lang w:val="hu-HU"/>
        </w:rPr>
        <w:t xml:space="preserve">  </w:t>
      </w:r>
      <w:r w:rsidR="00ED19AF" w:rsidRPr="00F86CEE">
        <w:rPr>
          <w:sz w:val="28"/>
          <w:szCs w:val="28"/>
        </w:rPr>
        <w:t>кратковременная седация у детей и взрослых</w:t>
      </w:r>
    </w:p>
    <w:p w:rsidR="009A67FD" w:rsidRPr="00F86CEE" w:rsidRDefault="00112259" w:rsidP="009A67FD">
      <w:pPr>
        <w:jc w:val="both"/>
        <w:rPr>
          <w:sz w:val="28"/>
          <w:szCs w:val="28"/>
        </w:rPr>
      </w:pPr>
      <w:r w:rsidRPr="00F86CEE">
        <w:rPr>
          <w:sz w:val="28"/>
          <w:szCs w:val="28"/>
        </w:rPr>
        <w:t>- в качестве противорвотного средства. Профилактика и лечение тошноты и рвоты, связанной с анестезией или возникающих в послеоперационном периоде. Профилактика и лечение кинетозов (головокружения и «болезни движения» при поездках на транспорте»)</w:t>
      </w:r>
    </w:p>
    <w:p w:rsidR="00ED19AF" w:rsidRPr="00F86CEE" w:rsidRDefault="00ED19AF" w:rsidP="009A67FD">
      <w:pPr>
        <w:jc w:val="both"/>
        <w:rPr>
          <w:sz w:val="28"/>
          <w:szCs w:val="28"/>
        </w:rPr>
      </w:pPr>
    </w:p>
    <w:p w:rsidR="00A80FFD" w:rsidRPr="00F86CEE" w:rsidRDefault="00112259" w:rsidP="00A80FFD">
      <w:pPr>
        <w:jc w:val="both"/>
        <w:rPr>
          <w:b/>
          <w:sz w:val="28"/>
          <w:szCs w:val="28"/>
        </w:rPr>
      </w:pPr>
      <w:r w:rsidRPr="00F86CEE">
        <w:rPr>
          <w:b/>
          <w:sz w:val="28"/>
          <w:szCs w:val="28"/>
        </w:rPr>
        <w:t>Способ применения и дозы</w:t>
      </w:r>
    </w:p>
    <w:p w:rsidR="006C18B6" w:rsidRPr="00F86CEE" w:rsidRDefault="00112259" w:rsidP="00823E4A">
      <w:pPr>
        <w:jc w:val="both"/>
        <w:rPr>
          <w:sz w:val="28"/>
        </w:rPr>
      </w:pPr>
      <w:r w:rsidRPr="00F86CEE">
        <w:rPr>
          <w:sz w:val="28"/>
        </w:rPr>
        <w:t xml:space="preserve">Препарат применяется строго по назначению врача! </w:t>
      </w:r>
    </w:p>
    <w:p w:rsidR="006C18B6" w:rsidRPr="00F86CEE" w:rsidRDefault="00112259" w:rsidP="00823E4A">
      <w:pPr>
        <w:jc w:val="both"/>
        <w:rPr>
          <w:snapToGrid w:val="0"/>
          <w:sz w:val="28"/>
        </w:rPr>
      </w:pPr>
      <w:r w:rsidRPr="00F86CEE">
        <w:rPr>
          <w:snapToGrid w:val="0"/>
          <w:sz w:val="28"/>
        </w:rPr>
        <w:t>Препарат для внутримышечного или внутривенного введения.</w:t>
      </w:r>
    </w:p>
    <w:p w:rsidR="00EA5365" w:rsidRPr="00F86CEE" w:rsidRDefault="00112259" w:rsidP="00823E4A">
      <w:pPr>
        <w:jc w:val="both"/>
        <w:rPr>
          <w:snapToGrid w:val="0"/>
          <w:sz w:val="28"/>
        </w:rPr>
      </w:pPr>
      <w:r w:rsidRPr="00F86CEE">
        <w:rPr>
          <w:snapToGrid w:val="0"/>
          <w:sz w:val="28"/>
        </w:rPr>
        <w:t xml:space="preserve">Внутривенное введение следует проводить с осторожностью с целью избегания экстравазации или непреднамеренного интраартериального введения. </w:t>
      </w:r>
    </w:p>
    <w:p w:rsidR="00EA5365" w:rsidRPr="00F86CEE" w:rsidRDefault="00112259" w:rsidP="00823E4A">
      <w:pPr>
        <w:jc w:val="both"/>
        <w:rPr>
          <w:snapToGrid w:val="0"/>
          <w:sz w:val="28"/>
        </w:rPr>
      </w:pPr>
      <w:r w:rsidRPr="00F86CEE">
        <w:rPr>
          <w:snapToGrid w:val="0"/>
          <w:sz w:val="28"/>
        </w:rPr>
        <w:t>При внутримышечном введении также требуется соблюдать осторожность с целью избегания случайного подкожного введения, которое может вызвать локальный некроз</w:t>
      </w:r>
      <w:r w:rsidR="00AC328E">
        <w:rPr>
          <w:snapToGrid w:val="0"/>
          <w:sz w:val="28"/>
        </w:rPr>
        <w:t>.</w:t>
      </w:r>
    </w:p>
    <w:p w:rsidR="00EA5365" w:rsidRPr="00F86CEE" w:rsidRDefault="00112259" w:rsidP="00EA5365">
      <w:pPr>
        <w:jc w:val="both"/>
        <w:rPr>
          <w:b/>
          <w:i/>
          <w:snapToGrid w:val="0"/>
          <w:sz w:val="28"/>
        </w:rPr>
      </w:pPr>
      <w:r w:rsidRPr="00F86CEE">
        <w:rPr>
          <w:b/>
          <w:i/>
          <w:snapToGrid w:val="0"/>
          <w:sz w:val="28"/>
        </w:rPr>
        <w:t>Режим дозирования</w:t>
      </w:r>
    </w:p>
    <w:p w:rsidR="00EA5365" w:rsidRPr="00F86CEE" w:rsidRDefault="00112259" w:rsidP="00EA5365">
      <w:pPr>
        <w:jc w:val="both"/>
        <w:rPr>
          <w:snapToGrid w:val="0"/>
          <w:sz w:val="28"/>
        </w:rPr>
      </w:pPr>
      <w:r w:rsidRPr="00F86CEE">
        <w:rPr>
          <w:snapToGrid w:val="0"/>
          <w:sz w:val="28"/>
        </w:rPr>
        <w:lastRenderedPageBreak/>
        <w:t>Обычная рекомендуемая доза составляет 25-50 мг глубоко внутримышечно, а в экстренных случаях с помощью медленной внутривенной инъекции (максимум 25 мг прометазина/мин.) после 10-кратного объемного разведения исходного 2,5% раствора (25 мг/мл) водой для инъекций непосредственно перед введением.</w:t>
      </w:r>
    </w:p>
    <w:p w:rsidR="00EA5365" w:rsidRPr="00F86CEE" w:rsidRDefault="00112259" w:rsidP="00EA5365">
      <w:pPr>
        <w:jc w:val="both"/>
        <w:rPr>
          <w:snapToGrid w:val="0"/>
          <w:sz w:val="28"/>
        </w:rPr>
      </w:pPr>
      <w:r w:rsidRPr="00F86CEE">
        <w:rPr>
          <w:snapToGrid w:val="0"/>
          <w:sz w:val="28"/>
        </w:rPr>
        <w:t>Максимальная парентеральная доза составляет 100 мг.</w:t>
      </w:r>
    </w:p>
    <w:p w:rsidR="00EA5365" w:rsidRPr="00F86CEE" w:rsidRDefault="00112259" w:rsidP="00EA5365">
      <w:pPr>
        <w:jc w:val="both"/>
        <w:rPr>
          <w:b/>
          <w:i/>
          <w:snapToGrid w:val="0"/>
          <w:sz w:val="28"/>
        </w:rPr>
      </w:pPr>
      <w:r w:rsidRPr="00F86CEE">
        <w:rPr>
          <w:b/>
          <w:i/>
          <w:snapToGrid w:val="0"/>
          <w:sz w:val="28"/>
        </w:rPr>
        <w:t xml:space="preserve">Пациенты пожилого возраста </w:t>
      </w:r>
    </w:p>
    <w:p w:rsidR="00EA5365" w:rsidRPr="00F86CEE" w:rsidRDefault="00112259" w:rsidP="00EA5365">
      <w:pPr>
        <w:jc w:val="both"/>
        <w:rPr>
          <w:snapToGrid w:val="0"/>
          <w:sz w:val="28"/>
        </w:rPr>
      </w:pPr>
      <w:r w:rsidRPr="00F86CEE">
        <w:rPr>
          <w:snapToGrid w:val="0"/>
          <w:sz w:val="28"/>
        </w:rPr>
        <w:t>Нет специфических рекомендаций по режиму дозирования.</w:t>
      </w:r>
    </w:p>
    <w:p w:rsidR="00EA5365" w:rsidRPr="00F86CEE" w:rsidRDefault="00112259" w:rsidP="00EA5365">
      <w:pPr>
        <w:jc w:val="both"/>
        <w:rPr>
          <w:b/>
          <w:i/>
          <w:snapToGrid w:val="0"/>
          <w:sz w:val="28"/>
        </w:rPr>
      </w:pPr>
      <w:r w:rsidRPr="00F86CEE">
        <w:rPr>
          <w:b/>
          <w:i/>
          <w:snapToGrid w:val="0"/>
          <w:sz w:val="28"/>
        </w:rPr>
        <w:t>Детский и подростковый возраст</w:t>
      </w:r>
    </w:p>
    <w:p w:rsidR="00EA5365" w:rsidRPr="00F86CEE" w:rsidRDefault="00112259" w:rsidP="00EA5365">
      <w:pPr>
        <w:jc w:val="both"/>
        <w:rPr>
          <w:snapToGrid w:val="0"/>
          <w:sz w:val="28"/>
        </w:rPr>
      </w:pPr>
      <w:r w:rsidRPr="00F86CEE">
        <w:rPr>
          <w:snapToGrid w:val="0"/>
          <w:sz w:val="28"/>
        </w:rPr>
        <w:t>6,25 мг – 12,5 мг для детей в возрасте 5-10 лет для глубоких внутримышечных инъекций.</w:t>
      </w:r>
    </w:p>
    <w:p w:rsidR="00EA5365" w:rsidRPr="00A14293" w:rsidRDefault="00112259" w:rsidP="00EA5365">
      <w:pPr>
        <w:jc w:val="both"/>
        <w:rPr>
          <w:i/>
          <w:strike/>
          <w:snapToGrid w:val="0"/>
          <w:color w:val="FF0000"/>
          <w:sz w:val="28"/>
        </w:rPr>
      </w:pPr>
      <w:r w:rsidRPr="00F86CEE">
        <w:rPr>
          <w:snapToGrid w:val="0"/>
          <w:sz w:val="28"/>
        </w:rPr>
        <w:t>Прометазин раствор для инъекций нельзя назначать детям младше 2-х лет, в связи с возможностью развития фатального торможения дыхания</w:t>
      </w:r>
      <w:r w:rsidR="00AC328E">
        <w:rPr>
          <w:snapToGrid w:val="0"/>
          <w:sz w:val="28"/>
        </w:rPr>
        <w:t>.</w:t>
      </w:r>
      <w:r w:rsidRPr="00A14293">
        <w:rPr>
          <w:i/>
          <w:strike/>
          <w:snapToGrid w:val="0"/>
          <w:color w:val="FF0000"/>
          <w:sz w:val="28"/>
        </w:rPr>
        <w:t xml:space="preserve">  </w:t>
      </w:r>
    </w:p>
    <w:p w:rsidR="00EA5365" w:rsidRPr="00F86CEE" w:rsidRDefault="00112259" w:rsidP="00EA5365">
      <w:pPr>
        <w:jc w:val="both"/>
        <w:rPr>
          <w:snapToGrid w:val="0"/>
          <w:sz w:val="28"/>
        </w:rPr>
      </w:pPr>
      <w:r w:rsidRPr="00F86CEE">
        <w:rPr>
          <w:snapToGrid w:val="0"/>
          <w:sz w:val="28"/>
        </w:rPr>
        <w:t>Отсутствуют данные по применению прометазина у детей в возрасте от</w:t>
      </w:r>
      <w:r w:rsidRPr="00F86CEE">
        <w:rPr>
          <w:snapToGrid w:val="0"/>
          <w:sz w:val="28"/>
          <w:lang w:val="hu-HU"/>
        </w:rPr>
        <w:t xml:space="preserve"> 2 до 5 лет</w:t>
      </w:r>
      <w:r w:rsidRPr="00F86CEE">
        <w:rPr>
          <w:snapToGrid w:val="0"/>
          <w:sz w:val="28"/>
        </w:rPr>
        <w:t>.</w:t>
      </w:r>
    </w:p>
    <w:p w:rsidR="005F3F47" w:rsidRPr="00F86CEE" w:rsidRDefault="00112259" w:rsidP="005F3F47">
      <w:pPr>
        <w:jc w:val="both"/>
        <w:rPr>
          <w:b/>
          <w:i/>
          <w:snapToGrid w:val="0"/>
          <w:sz w:val="28"/>
        </w:rPr>
      </w:pPr>
      <w:r w:rsidRPr="00F86CEE">
        <w:rPr>
          <w:b/>
          <w:i/>
          <w:snapToGrid w:val="0"/>
          <w:sz w:val="28"/>
          <w:u w:val="single"/>
        </w:rPr>
        <w:t>Инструкция по вскрытию ампул (для правшей)</w:t>
      </w:r>
      <w:r w:rsidRPr="00F86CEE">
        <w:rPr>
          <w:b/>
          <w:i/>
          <w:snapToGrid w:val="0"/>
          <w:sz w:val="28"/>
        </w:rPr>
        <w:t>:</w:t>
      </w:r>
    </w:p>
    <w:p w:rsidR="005F3F47" w:rsidRPr="00F86CEE" w:rsidRDefault="00112259" w:rsidP="005F3F47">
      <w:pPr>
        <w:jc w:val="both"/>
        <w:rPr>
          <w:snapToGrid w:val="0"/>
          <w:sz w:val="28"/>
        </w:rPr>
      </w:pPr>
      <w:r w:rsidRPr="00F86CEE">
        <w:rPr>
          <w:snapToGrid w:val="0"/>
          <w:sz w:val="28"/>
        </w:rPr>
        <w:t>Возьмите ампулу в левую руку, зажав её между большим и указательным пальцем, чтобы отметка точки излома была наверху.  (Рис.1). Возьмите кончик ампулы правой рукой, зажав его между большим и согнутым указательным пальцем, так, чтобы большой палец находился над точкой разлома (Рис. 2). Отломите кончик ампулы, нажимая вниз большим пальцем правой руки, поддерживая кончик ампулы снизу указательным пальцем. Действуйте на изгиб со средней постоянной силой, не приближая и не отдаляя руки (Рис</w:t>
      </w:r>
      <w:r w:rsidRPr="00F86CEE">
        <w:rPr>
          <w:snapToGrid w:val="0"/>
          <w:sz w:val="28"/>
          <w:lang w:val="hu-HU"/>
        </w:rPr>
        <w:t>.</w:t>
      </w:r>
      <w:r w:rsidRPr="00F86CEE">
        <w:rPr>
          <w:snapToGrid w:val="0"/>
          <w:sz w:val="28"/>
        </w:rPr>
        <w:t xml:space="preserve"> 3). Шейка ампулы может отломиться в любой момент так, что Вы можете это не почувствовать (Рис.4)</w:t>
      </w:r>
    </w:p>
    <w:p w:rsidR="005F3F47" w:rsidRPr="00F86CEE" w:rsidRDefault="00112259" w:rsidP="005F3F47">
      <w:pPr>
        <w:jc w:val="both"/>
        <w:rPr>
          <w:snapToGrid w:val="0"/>
          <w:sz w:val="28"/>
        </w:rPr>
      </w:pPr>
      <w:r>
        <w:rPr>
          <w:noProof/>
          <w:sz w:val="28"/>
        </w:rPr>
        <w:drawing>
          <wp:inline distT="0" distB="0" distL="0" distR="0">
            <wp:extent cx="1924050" cy="406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187342"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24050" cy="4067175"/>
                    </a:xfrm>
                    <a:prstGeom prst="rect">
                      <a:avLst/>
                    </a:prstGeom>
                    <a:noFill/>
                    <a:ln>
                      <a:noFill/>
                    </a:ln>
                  </pic:spPr>
                </pic:pic>
              </a:graphicData>
            </a:graphic>
          </wp:inline>
        </w:drawing>
      </w:r>
    </w:p>
    <w:p w:rsidR="005F3F47" w:rsidRPr="00F86CEE" w:rsidRDefault="005F3F47" w:rsidP="005F3F47">
      <w:pPr>
        <w:jc w:val="both"/>
        <w:rPr>
          <w:snapToGrid w:val="0"/>
          <w:sz w:val="28"/>
        </w:rPr>
      </w:pPr>
    </w:p>
    <w:p w:rsidR="00B82B26" w:rsidRDefault="00B82B26" w:rsidP="00A80FFD">
      <w:pPr>
        <w:jc w:val="both"/>
        <w:rPr>
          <w:b/>
          <w:sz w:val="28"/>
          <w:szCs w:val="28"/>
        </w:rPr>
      </w:pPr>
    </w:p>
    <w:p w:rsidR="00A80FFD" w:rsidRPr="00F86CEE" w:rsidRDefault="00112259" w:rsidP="00A80FFD">
      <w:pPr>
        <w:jc w:val="both"/>
        <w:rPr>
          <w:b/>
          <w:sz w:val="28"/>
          <w:szCs w:val="28"/>
          <w:lang w:val="kk-KZ"/>
        </w:rPr>
      </w:pPr>
      <w:r w:rsidRPr="00F86CEE">
        <w:rPr>
          <w:b/>
          <w:sz w:val="28"/>
          <w:szCs w:val="28"/>
        </w:rPr>
        <w:t>Побочные действия</w:t>
      </w:r>
    </w:p>
    <w:p w:rsidR="009F4887" w:rsidRPr="00AF4A4D" w:rsidRDefault="00112259" w:rsidP="009F4887">
      <w:pPr>
        <w:jc w:val="both"/>
        <w:rPr>
          <w:sz w:val="28"/>
          <w:szCs w:val="28"/>
        </w:rPr>
      </w:pPr>
      <w:r w:rsidRPr="00AF4A4D">
        <w:rPr>
          <w:sz w:val="28"/>
          <w:szCs w:val="28"/>
        </w:rPr>
        <w:t>Частота побочных эффектов, наблюдавшаяся при использовании индивидуальных компонентов, приводится в соответствии со следующими градациями частоты их возникновения (</w:t>
      </w:r>
      <w:r w:rsidRPr="00AF4A4D">
        <w:rPr>
          <w:sz w:val="28"/>
          <w:szCs w:val="28"/>
          <w:lang w:val="en-US"/>
        </w:rPr>
        <w:t>CIOMS</w:t>
      </w:r>
      <w:r w:rsidRPr="00AF4A4D">
        <w:rPr>
          <w:sz w:val="28"/>
          <w:szCs w:val="28"/>
        </w:rPr>
        <w:t xml:space="preserve">): </w:t>
      </w:r>
    </w:p>
    <w:p w:rsidR="009F4887" w:rsidRPr="00AF4A4D" w:rsidRDefault="00112259" w:rsidP="009F4887">
      <w:pPr>
        <w:jc w:val="both"/>
        <w:rPr>
          <w:sz w:val="28"/>
          <w:szCs w:val="28"/>
        </w:rPr>
      </w:pPr>
      <w:r w:rsidRPr="00AF4A4D">
        <w:rPr>
          <w:sz w:val="28"/>
          <w:szCs w:val="28"/>
        </w:rPr>
        <w:t xml:space="preserve">очень часто (≥ 1/10), часто (от ≥ 1/100 до &lt; 1/10),  нечасто (от ≥ 1/1000 до &lt; 1/100),  редко (от ≥ 1/10000 до &lt; 1/1000),  очень редко (&lt; 1/10000),  частота неизвестна (на основании имеющихся данных оценка невозможна). </w:t>
      </w:r>
    </w:p>
    <w:p w:rsidR="007F3EB7" w:rsidRPr="00AF4A4D" w:rsidRDefault="00112259" w:rsidP="009F4887">
      <w:pPr>
        <w:jc w:val="both"/>
        <w:rPr>
          <w:sz w:val="28"/>
          <w:szCs w:val="28"/>
        </w:rPr>
      </w:pPr>
      <w:r w:rsidRPr="00AF4A4D">
        <w:rPr>
          <w:sz w:val="28"/>
          <w:szCs w:val="28"/>
        </w:rPr>
        <w:t xml:space="preserve">У некоторых пациентов наблюдались побочные эффекты: сонливость, головокружение, беспокойство, головная боль, кошмарные сновидения, усталость и дезориентация. </w:t>
      </w:r>
    </w:p>
    <w:p w:rsidR="007F3EB7" w:rsidRPr="00AF4A4D" w:rsidRDefault="00112259" w:rsidP="009F4887">
      <w:pPr>
        <w:jc w:val="both"/>
        <w:rPr>
          <w:sz w:val="28"/>
          <w:szCs w:val="28"/>
        </w:rPr>
      </w:pPr>
      <w:r w:rsidRPr="00AF4A4D">
        <w:rPr>
          <w:sz w:val="28"/>
          <w:szCs w:val="28"/>
        </w:rPr>
        <w:t xml:space="preserve">Иногда наблюдались антихолинергические побочные реакции: ухудшение остроты зрения, сухость во рту и задержка мочи. Новорожденные и недоношенные младенцы чувствительны к антихолинергическому действию прометазина; кроме того, у детей может развиваться и повышенная раздражительность. </w:t>
      </w:r>
    </w:p>
    <w:p w:rsidR="007F3EB7" w:rsidRPr="00AF4A4D" w:rsidRDefault="00112259" w:rsidP="009F4887">
      <w:pPr>
        <w:jc w:val="both"/>
        <w:rPr>
          <w:sz w:val="28"/>
          <w:szCs w:val="28"/>
        </w:rPr>
      </w:pPr>
      <w:r w:rsidRPr="00AF4A4D">
        <w:rPr>
          <w:sz w:val="28"/>
          <w:szCs w:val="28"/>
        </w:rPr>
        <w:t xml:space="preserve">Пожилые пациенты очень чувствительны к антихолинергическому действию прометазина, у них также наблюдалась спутанность сознания. </w:t>
      </w:r>
    </w:p>
    <w:p w:rsidR="007F3EB7" w:rsidRPr="00AF4A4D" w:rsidRDefault="00112259" w:rsidP="009F4887">
      <w:pPr>
        <w:jc w:val="both"/>
        <w:rPr>
          <w:sz w:val="28"/>
          <w:szCs w:val="28"/>
        </w:rPr>
      </w:pPr>
      <w:r w:rsidRPr="00AF4A4D">
        <w:rPr>
          <w:sz w:val="28"/>
          <w:szCs w:val="28"/>
        </w:rPr>
        <w:t xml:space="preserve">К другим побочным реакциям относятся: анорексия, раздражение желудка, ощущение сильного сердцебиения, гипотензия, аритмии, экстрапирамидные расстройства, мышечные спазмы, тикоподобные движения головы и лица. </w:t>
      </w:r>
    </w:p>
    <w:p w:rsidR="009F4887" w:rsidRPr="00AF4A4D" w:rsidRDefault="00112259" w:rsidP="009F4887">
      <w:pPr>
        <w:jc w:val="both"/>
        <w:rPr>
          <w:sz w:val="28"/>
          <w:szCs w:val="28"/>
        </w:rPr>
      </w:pPr>
      <w:r w:rsidRPr="00AF4A4D">
        <w:rPr>
          <w:sz w:val="28"/>
          <w:szCs w:val="28"/>
        </w:rPr>
        <w:t>В редких случаях развивалась желтуха и дискразии крови. Очень редко сообщалось о случаях аллергических реакций, включая крапивницу, кожную сыпь, зуд, и анафилаксию.</w:t>
      </w:r>
    </w:p>
    <w:p w:rsidR="009F4887" w:rsidRPr="00AF4A4D" w:rsidRDefault="00112259" w:rsidP="009F4887">
      <w:pPr>
        <w:jc w:val="both"/>
        <w:rPr>
          <w:sz w:val="28"/>
          <w:szCs w:val="28"/>
        </w:rPr>
      </w:pPr>
      <w:r w:rsidRPr="00AF4A4D">
        <w:rPr>
          <w:sz w:val="28"/>
          <w:szCs w:val="28"/>
        </w:rPr>
        <w:t>Поступали сообщения о кожных реакциях светочувствительности; во время лечения следует избегать интенсивного солнечного света.</w:t>
      </w:r>
    </w:p>
    <w:p w:rsidR="00B73392" w:rsidRPr="00F86CEE" w:rsidRDefault="00112259" w:rsidP="00B73392">
      <w:pPr>
        <w:jc w:val="both"/>
        <w:rPr>
          <w:b/>
          <w:i/>
          <w:sz w:val="28"/>
        </w:rPr>
      </w:pPr>
      <w:r w:rsidRPr="00F86CEE">
        <w:rPr>
          <w:b/>
          <w:i/>
          <w:sz w:val="28"/>
        </w:rPr>
        <w:t>Сообщения о предполагаемых побочных реакциях</w:t>
      </w:r>
    </w:p>
    <w:p w:rsidR="00B73392" w:rsidRPr="00F86CEE" w:rsidRDefault="00112259" w:rsidP="00B73392">
      <w:pPr>
        <w:jc w:val="both"/>
        <w:rPr>
          <w:sz w:val="28"/>
        </w:rPr>
      </w:pPr>
      <w:r w:rsidRPr="00F86CEE">
        <w:rPr>
          <w:sz w:val="28"/>
        </w:rPr>
        <w:t>Предоставление данных о предполагаемых побочных реакциях препарата является очень важным моментом, позволяющим  осуществлять непрерывный мониторинг соотношения риск/польза лекарственного средства. Медицинским работникам следует  предоставлять информацию о любых предполагаемых неблагоприятных реакциях по указанным в конце инструкции контактам, а также через национальную систему сбора информации.</w:t>
      </w:r>
    </w:p>
    <w:p w:rsidR="00ED222D" w:rsidRPr="00F86CEE" w:rsidRDefault="00112259" w:rsidP="00B87DD0">
      <w:pPr>
        <w:jc w:val="both"/>
        <w:rPr>
          <w:b/>
          <w:sz w:val="28"/>
          <w:szCs w:val="28"/>
        </w:rPr>
      </w:pPr>
      <w:r w:rsidRPr="00F86CEE">
        <w:rPr>
          <w:b/>
          <w:sz w:val="28"/>
          <w:szCs w:val="28"/>
        </w:rPr>
        <w:t xml:space="preserve">   </w:t>
      </w:r>
    </w:p>
    <w:p w:rsidR="00B87DD0" w:rsidRPr="00F86CEE" w:rsidRDefault="00112259" w:rsidP="00B87DD0">
      <w:pPr>
        <w:jc w:val="both"/>
        <w:rPr>
          <w:b/>
          <w:sz w:val="28"/>
          <w:szCs w:val="28"/>
        </w:rPr>
      </w:pPr>
      <w:r w:rsidRPr="00F86CEE">
        <w:rPr>
          <w:b/>
          <w:sz w:val="28"/>
          <w:szCs w:val="28"/>
        </w:rPr>
        <w:t>Противопоказания</w:t>
      </w:r>
    </w:p>
    <w:p w:rsidR="00B87DD0" w:rsidRPr="00F86CEE" w:rsidRDefault="00112259" w:rsidP="005F2D4D">
      <w:pPr>
        <w:ind w:left="142" w:hanging="142"/>
        <w:jc w:val="both"/>
        <w:rPr>
          <w:sz w:val="28"/>
          <w:szCs w:val="28"/>
        </w:rPr>
      </w:pPr>
      <w:r w:rsidRPr="00F86CEE">
        <w:rPr>
          <w:sz w:val="28"/>
          <w:szCs w:val="28"/>
        </w:rPr>
        <w:t>-</w:t>
      </w:r>
      <w:r w:rsidR="005F2D4D" w:rsidRPr="00F86CEE">
        <w:rPr>
          <w:sz w:val="28"/>
          <w:szCs w:val="28"/>
        </w:rPr>
        <w:t xml:space="preserve"> </w:t>
      </w:r>
      <w:r w:rsidR="00273F67" w:rsidRPr="00F86CEE">
        <w:rPr>
          <w:sz w:val="28"/>
          <w:szCs w:val="28"/>
        </w:rPr>
        <w:t>повышенная чувствительность к</w:t>
      </w:r>
      <w:r w:rsidR="00B73392" w:rsidRPr="00F86CEE">
        <w:rPr>
          <w:rFonts w:eastAsia="Calibri"/>
          <w:sz w:val="18"/>
          <w:szCs w:val="18"/>
          <w:lang w:eastAsia="en-US"/>
        </w:rPr>
        <w:t xml:space="preserve"> </w:t>
      </w:r>
      <w:r w:rsidR="00273F67" w:rsidRPr="00AF4A4D">
        <w:rPr>
          <w:sz w:val="28"/>
          <w:szCs w:val="28"/>
        </w:rPr>
        <w:t>активному</w:t>
      </w:r>
      <w:r w:rsidR="00273F67" w:rsidRPr="00F86CEE">
        <w:rPr>
          <w:sz w:val="28"/>
          <w:szCs w:val="28"/>
        </w:rPr>
        <w:t xml:space="preserve"> веществу или любому из вспомогательных веществ</w:t>
      </w:r>
    </w:p>
    <w:p w:rsidR="00B87DD0" w:rsidRPr="00F86CEE" w:rsidRDefault="00112259" w:rsidP="005F2D4D">
      <w:pPr>
        <w:ind w:left="284" w:hanging="284"/>
        <w:jc w:val="both"/>
        <w:rPr>
          <w:sz w:val="28"/>
          <w:szCs w:val="28"/>
        </w:rPr>
      </w:pPr>
      <w:r w:rsidRPr="00F86CEE">
        <w:rPr>
          <w:sz w:val="28"/>
          <w:szCs w:val="28"/>
        </w:rPr>
        <w:t>- коматозные состояния или угнетение функций центральной нервной системы</w:t>
      </w:r>
      <w:r w:rsidR="00A11BC1" w:rsidRPr="00F86CEE">
        <w:rPr>
          <w:sz w:val="28"/>
          <w:szCs w:val="28"/>
          <w:lang w:val="hu-HU"/>
        </w:rPr>
        <w:t xml:space="preserve"> </w:t>
      </w:r>
      <w:r w:rsidR="00ED222D" w:rsidRPr="00F86CEE">
        <w:rPr>
          <w:sz w:val="28"/>
          <w:szCs w:val="28"/>
        </w:rPr>
        <w:t>любой этиологии</w:t>
      </w:r>
    </w:p>
    <w:p w:rsidR="00B87DD0" w:rsidRPr="00F86CEE" w:rsidRDefault="00112259" w:rsidP="00B87DD0">
      <w:pPr>
        <w:jc w:val="both"/>
        <w:rPr>
          <w:sz w:val="28"/>
          <w:szCs w:val="28"/>
        </w:rPr>
      </w:pPr>
      <w:r w:rsidRPr="00F86CEE">
        <w:rPr>
          <w:sz w:val="28"/>
          <w:szCs w:val="28"/>
        </w:rPr>
        <w:t>- период менее 14 дней после приема ингибиторов моноаминооксидазы</w:t>
      </w:r>
    </w:p>
    <w:p w:rsidR="00B87DD0" w:rsidRPr="00F86CEE" w:rsidRDefault="00112259" w:rsidP="00727555">
      <w:pPr>
        <w:pStyle w:val="ae"/>
        <w:rPr>
          <w:b/>
          <w:bCs/>
          <w:lang w:val="hu-HU"/>
        </w:rPr>
      </w:pPr>
      <w:r w:rsidRPr="00F86CEE">
        <w:rPr>
          <w:sz w:val="28"/>
          <w:szCs w:val="28"/>
        </w:rPr>
        <w:t xml:space="preserve">- </w:t>
      </w:r>
      <w:r w:rsidR="004237E8" w:rsidRPr="00F86CEE">
        <w:rPr>
          <w:sz w:val="28"/>
          <w:szCs w:val="28"/>
        </w:rPr>
        <w:t xml:space="preserve">детский </w:t>
      </w:r>
      <w:r w:rsidRPr="00F86CEE">
        <w:rPr>
          <w:sz w:val="28"/>
          <w:szCs w:val="28"/>
        </w:rPr>
        <w:t xml:space="preserve">возраст до 2-х </w:t>
      </w:r>
      <w:r w:rsidR="00491BE9" w:rsidRPr="00F86CEE">
        <w:rPr>
          <w:sz w:val="28"/>
          <w:szCs w:val="28"/>
        </w:rPr>
        <w:t>лет</w:t>
      </w:r>
      <w:r w:rsidR="00ED222D" w:rsidRPr="00F86CEE">
        <w:rPr>
          <w:sz w:val="28"/>
          <w:szCs w:val="28"/>
        </w:rPr>
        <w:t xml:space="preserve">  </w:t>
      </w:r>
      <w:r w:rsidR="00727555" w:rsidRPr="00F86CEE">
        <w:rPr>
          <w:b/>
          <w:bCs/>
          <w:lang w:val="hu-HU"/>
        </w:rPr>
        <w:t>(</w:t>
      </w:r>
      <w:r w:rsidR="00727555" w:rsidRPr="00F86CEE">
        <w:rPr>
          <w:sz w:val="28"/>
          <w:szCs w:val="28"/>
        </w:rPr>
        <w:t>в виду возможности развития фатального угнетения дыхания</w:t>
      </w:r>
      <w:r w:rsidR="00727555" w:rsidRPr="00F86CEE">
        <w:rPr>
          <w:sz w:val="28"/>
          <w:szCs w:val="28"/>
          <w:lang w:val="hu-HU"/>
        </w:rPr>
        <w:t>)</w:t>
      </w:r>
      <w:r w:rsidR="00727555" w:rsidRPr="00F86CEE">
        <w:rPr>
          <w:sz w:val="28"/>
          <w:szCs w:val="28"/>
        </w:rPr>
        <w:t>.</w:t>
      </w:r>
      <w:r w:rsidR="00727555" w:rsidRPr="00F86CEE">
        <w:rPr>
          <w:b/>
          <w:bCs/>
          <w:lang w:val="hu-HU"/>
        </w:rPr>
        <w:t xml:space="preserve"> </w:t>
      </w:r>
    </w:p>
    <w:p w:rsidR="007E55DE" w:rsidRPr="00F86CEE" w:rsidRDefault="00112259" w:rsidP="007E55DE">
      <w:pPr>
        <w:jc w:val="both"/>
        <w:rPr>
          <w:sz w:val="28"/>
          <w:szCs w:val="28"/>
        </w:rPr>
      </w:pPr>
      <w:r w:rsidRPr="00F86CEE">
        <w:rPr>
          <w:sz w:val="28"/>
          <w:szCs w:val="28"/>
          <w:lang w:val="hu-HU"/>
        </w:rPr>
        <w:lastRenderedPageBreak/>
        <w:t xml:space="preserve">- </w:t>
      </w:r>
      <w:r w:rsidRPr="00F86CEE">
        <w:rPr>
          <w:sz w:val="28"/>
          <w:szCs w:val="28"/>
        </w:rPr>
        <w:t>одновременное применение с препаратами, угнетающими ЦНС, адреналином</w:t>
      </w:r>
    </w:p>
    <w:p w:rsidR="006C18B6" w:rsidRPr="00F86CEE" w:rsidRDefault="00112259" w:rsidP="0008735B">
      <w:pPr>
        <w:jc w:val="both"/>
        <w:rPr>
          <w:i/>
          <w:sz w:val="28"/>
          <w:szCs w:val="28"/>
        </w:rPr>
      </w:pPr>
      <w:r w:rsidRPr="00F86CEE">
        <w:rPr>
          <w:i/>
          <w:sz w:val="28"/>
          <w:szCs w:val="28"/>
        </w:rPr>
        <w:t xml:space="preserve">С осторожностью: </w:t>
      </w:r>
      <w:r w:rsidRPr="00F86CEE">
        <w:rPr>
          <w:sz w:val="28"/>
          <w:szCs w:val="28"/>
        </w:rPr>
        <w:t>детям</w:t>
      </w:r>
      <w:r w:rsidR="00A11BC1" w:rsidRPr="00F86CEE">
        <w:rPr>
          <w:sz w:val="28"/>
          <w:szCs w:val="28"/>
          <w:lang w:val="hu-HU"/>
        </w:rPr>
        <w:t xml:space="preserve"> </w:t>
      </w:r>
      <w:r w:rsidR="00A11BC1" w:rsidRPr="00F86CEE">
        <w:rPr>
          <w:sz w:val="28"/>
          <w:szCs w:val="28"/>
        </w:rPr>
        <w:t>с 5 лет</w:t>
      </w:r>
      <w:r w:rsidRPr="00F86CEE">
        <w:rPr>
          <w:sz w:val="28"/>
          <w:szCs w:val="28"/>
        </w:rPr>
        <w:t>, подросткам, пожилым пациентам</w:t>
      </w:r>
    </w:p>
    <w:p w:rsidR="00B82B26" w:rsidRDefault="00B82B26" w:rsidP="0008735B">
      <w:pPr>
        <w:jc w:val="both"/>
        <w:rPr>
          <w:b/>
          <w:sz w:val="28"/>
          <w:szCs w:val="28"/>
        </w:rPr>
      </w:pPr>
    </w:p>
    <w:p w:rsidR="0008735B" w:rsidRPr="00F86CEE" w:rsidRDefault="00112259" w:rsidP="0008735B">
      <w:pPr>
        <w:jc w:val="both"/>
        <w:rPr>
          <w:b/>
          <w:sz w:val="28"/>
          <w:szCs w:val="28"/>
        </w:rPr>
      </w:pPr>
      <w:r w:rsidRPr="00F86CEE">
        <w:rPr>
          <w:b/>
          <w:sz w:val="28"/>
          <w:szCs w:val="28"/>
        </w:rPr>
        <w:t xml:space="preserve">Лекарственные взаимодействия </w:t>
      </w:r>
    </w:p>
    <w:p w:rsidR="009D5B69" w:rsidRPr="00F86CEE" w:rsidRDefault="00112259" w:rsidP="009D5B69">
      <w:pPr>
        <w:jc w:val="both"/>
        <w:rPr>
          <w:sz w:val="28"/>
          <w:szCs w:val="28"/>
        </w:rPr>
      </w:pPr>
      <w:r w:rsidRPr="00F86CEE">
        <w:rPr>
          <w:sz w:val="28"/>
          <w:szCs w:val="28"/>
        </w:rPr>
        <w:t xml:space="preserve">Пипольфен потенцирует </w:t>
      </w:r>
      <w:r w:rsidR="000546C9" w:rsidRPr="00F86CEE">
        <w:rPr>
          <w:sz w:val="28"/>
          <w:szCs w:val="28"/>
        </w:rPr>
        <w:t>угнетающее влияние</w:t>
      </w:r>
      <w:r w:rsidR="00665A5C" w:rsidRPr="00F86CEE">
        <w:rPr>
          <w:sz w:val="28"/>
          <w:szCs w:val="28"/>
        </w:rPr>
        <w:t xml:space="preserve"> </w:t>
      </w:r>
      <w:r w:rsidRPr="00F86CEE">
        <w:rPr>
          <w:sz w:val="28"/>
          <w:szCs w:val="28"/>
        </w:rPr>
        <w:t>седативных, снотворных</w:t>
      </w:r>
      <w:r w:rsidR="00665A5C" w:rsidRPr="00F86CEE">
        <w:rPr>
          <w:sz w:val="28"/>
          <w:szCs w:val="28"/>
        </w:rPr>
        <w:t xml:space="preserve"> препаратов</w:t>
      </w:r>
      <w:r w:rsidRPr="00F86CEE">
        <w:rPr>
          <w:sz w:val="28"/>
          <w:szCs w:val="28"/>
        </w:rPr>
        <w:t xml:space="preserve">, трициклических антидепрессантов и транквилизаторов на </w:t>
      </w:r>
      <w:r w:rsidR="006E4B2B" w:rsidRPr="00F86CEE">
        <w:rPr>
          <w:sz w:val="28"/>
          <w:szCs w:val="28"/>
        </w:rPr>
        <w:t>центральную нервную систему</w:t>
      </w:r>
      <w:r w:rsidRPr="00F86CEE">
        <w:rPr>
          <w:sz w:val="28"/>
          <w:szCs w:val="28"/>
        </w:rPr>
        <w:t>. Поэтому во время лечения</w:t>
      </w:r>
      <w:r w:rsidR="00B73392" w:rsidRPr="00F86CEE">
        <w:rPr>
          <w:sz w:val="28"/>
          <w:szCs w:val="28"/>
        </w:rPr>
        <w:t xml:space="preserve"> препаратом</w:t>
      </w:r>
      <w:r w:rsidRPr="00F86CEE">
        <w:rPr>
          <w:sz w:val="28"/>
          <w:szCs w:val="28"/>
        </w:rPr>
        <w:t xml:space="preserve"> рекомендуется сниж</w:t>
      </w:r>
      <w:r w:rsidR="000546C9" w:rsidRPr="00F86CEE">
        <w:rPr>
          <w:sz w:val="28"/>
          <w:szCs w:val="28"/>
        </w:rPr>
        <w:t>ение</w:t>
      </w:r>
      <w:r w:rsidRPr="00F86CEE">
        <w:rPr>
          <w:sz w:val="28"/>
          <w:szCs w:val="28"/>
        </w:rPr>
        <w:t xml:space="preserve"> доз</w:t>
      </w:r>
      <w:r w:rsidR="000546C9" w:rsidRPr="00F86CEE">
        <w:rPr>
          <w:sz w:val="28"/>
          <w:szCs w:val="28"/>
        </w:rPr>
        <w:t>ы</w:t>
      </w:r>
      <w:r w:rsidRPr="00F86CEE">
        <w:rPr>
          <w:sz w:val="28"/>
          <w:szCs w:val="28"/>
        </w:rPr>
        <w:t xml:space="preserve"> этих препаратов</w:t>
      </w:r>
      <w:r w:rsidR="000546C9" w:rsidRPr="00F86CEE">
        <w:rPr>
          <w:sz w:val="28"/>
          <w:szCs w:val="28"/>
        </w:rPr>
        <w:t>.</w:t>
      </w:r>
    </w:p>
    <w:p w:rsidR="009D5B69" w:rsidRPr="00F86CEE" w:rsidRDefault="00112259" w:rsidP="009D5B69">
      <w:pPr>
        <w:jc w:val="both"/>
        <w:rPr>
          <w:sz w:val="28"/>
          <w:szCs w:val="28"/>
        </w:rPr>
      </w:pPr>
      <w:r w:rsidRPr="00F86CEE">
        <w:rPr>
          <w:sz w:val="28"/>
          <w:szCs w:val="28"/>
        </w:rPr>
        <w:t>Пипольфен может усиливать действие препаратов с антихолинергическим действием</w:t>
      </w:r>
      <w:r w:rsidR="000546C9" w:rsidRPr="00F86CEE">
        <w:rPr>
          <w:sz w:val="28"/>
          <w:szCs w:val="28"/>
        </w:rPr>
        <w:t>.</w:t>
      </w:r>
    </w:p>
    <w:p w:rsidR="009D5B69" w:rsidRPr="00F86CEE" w:rsidRDefault="00112259" w:rsidP="009D5B69">
      <w:pPr>
        <w:jc w:val="both"/>
        <w:rPr>
          <w:sz w:val="28"/>
          <w:szCs w:val="28"/>
        </w:rPr>
      </w:pPr>
      <w:r w:rsidRPr="00F86CEE">
        <w:rPr>
          <w:sz w:val="28"/>
          <w:szCs w:val="28"/>
        </w:rPr>
        <w:t>П</w:t>
      </w:r>
      <w:r w:rsidR="00D607D3" w:rsidRPr="00F86CEE">
        <w:rPr>
          <w:sz w:val="28"/>
          <w:szCs w:val="28"/>
        </w:rPr>
        <w:t>ри одновременном введении с адреналином могут развиться парадоксальная гипотензия и тахикардия (</w:t>
      </w:r>
      <w:r w:rsidR="00800DB1" w:rsidRPr="00F86CEE">
        <w:rPr>
          <w:sz w:val="28"/>
          <w:szCs w:val="28"/>
        </w:rPr>
        <w:t xml:space="preserve">прометазин </w:t>
      </w:r>
      <w:r w:rsidR="00D607D3" w:rsidRPr="00F86CEE">
        <w:rPr>
          <w:sz w:val="28"/>
          <w:szCs w:val="28"/>
        </w:rPr>
        <w:t>может блокировать альфа-адренорецепторы и ослаблять прессорный эффект адреналина)</w:t>
      </w:r>
      <w:r w:rsidRPr="00F86CEE">
        <w:rPr>
          <w:sz w:val="28"/>
          <w:szCs w:val="28"/>
        </w:rPr>
        <w:t>.</w:t>
      </w:r>
    </w:p>
    <w:p w:rsidR="009D5B69" w:rsidRPr="00F86CEE" w:rsidRDefault="00112259" w:rsidP="009D5B69">
      <w:pPr>
        <w:jc w:val="both"/>
        <w:rPr>
          <w:sz w:val="28"/>
          <w:szCs w:val="28"/>
        </w:rPr>
      </w:pPr>
      <w:r w:rsidRPr="00F86CEE">
        <w:rPr>
          <w:sz w:val="28"/>
          <w:szCs w:val="28"/>
        </w:rPr>
        <w:t>Пипольфен может усиливать действие антигипертензивных средств</w:t>
      </w:r>
      <w:r w:rsidR="000546C9" w:rsidRPr="00F86CEE">
        <w:rPr>
          <w:sz w:val="28"/>
          <w:szCs w:val="28"/>
        </w:rPr>
        <w:t>.</w:t>
      </w:r>
    </w:p>
    <w:p w:rsidR="009D5B69" w:rsidRPr="00F86CEE" w:rsidRDefault="00112259" w:rsidP="009D5B69">
      <w:pPr>
        <w:jc w:val="both"/>
        <w:rPr>
          <w:sz w:val="28"/>
          <w:szCs w:val="28"/>
        </w:rPr>
      </w:pPr>
      <w:r w:rsidRPr="00F86CEE">
        <w:rPr>
          <w:sz w:val="28"/>
          <w:szCs w:val="28"/>
        </w:rPr>
        <w:t>П</w:t>
      </w:r>
      <w:r w:rsidR="00D607D3" w:rsidRPr="00F86CEE">
        <w:rPr>
          <w:sz w:val="28"/>
          <w:szCs w:val="28"/>
        </w:rPr>
        <w:t xml:space="preserve">ри совместном применении </w:t>
      </w:r>
      <w:r w:rsidRPr="00F86CEE">
        <w:rPr>
          <w:sz w:val="28"/>
          <w:szCs w:val="28"/>
        </w:rPr>
        <w:t xml:space="preserve">Пипольфен </w:t>
      </w:r>
      <w:r w:rsidR="00D607D3" w:rsidRPr="00F86CEE">
        <w:rPr>
          <w:sz w:val="28"/>
          <w:szCs w:val="28"/>
        </w:rPr>
        <w:t>может усиливать действие препаратов, вызывающих экстрапирамидные симптомы (повышается риск развития побочных эффектов со стороны ЦНС).</w:t>
      </w:r>
    </w:p>
    <w:p w:rsidR="009D5B69" w:rsidRPr="00F86CEE" w:rsidRDefault="00112259" w:rsidP="009D5B69">
      <w:pPr>
        <w:jc w:val="both"/>
        <w:rPr>
          <w:sz w:val="28"/>
          <w:szCs w:val="28"/>
        </w:rPr>
      </w:pPr>
      <w:r w:rsidRPr="00F86CEE">
        <w:rPr>
          <w:sz w:val="28"/>
          <w:szCs w:val="28"/>
        </w:rPr>
        <w:t>Пипольфен может снижать порог судорожной готовности, вследствие чего может во</w:t>
      </w:r>
      <w:r w:rsidR="000546C9" w:rsidRPr="00F86CEE">
        <w:rPr>
          <w:sz w:val="28"/>
          <w:szCs w:val="28"/>
        </w:rPr>
        <w:t>з</w:t>
      </w:r>
      <w:r w:rsidRPr="00F86CEE">
        <w:rPr>
          <w:sz w:val="28"/>
          <w:szCs w:val="28"/>
        </w:rPr>
        <w:t xml:space="preserve">никнуть необходимость изменения дозы противосудорожных </w:t>
      </w:r>
      <w:r w:rsidR="00665A5C" w:rsidRPr="00F86CEE">
        <w:rPr>
          <w:sz w:val="28"/>
          <w:szCs w:val="28"/>
        </w:rPr>
        <w:t>препаратов</w:t>
      </w:r>
      <w:r w:rsidRPr="00F86CEE">
        <w:rPr>
          <w:sz w:val="28"/>
          <w:szCs w:val="28"/>
        </w:rPr>
        <w:t>.</w:t>
      </w:r>
    </w:p>
    <w:p w:rsidR="009D5B69" w:rsidRPr="00F86CEE" w:rsidRDefault="00112259" w:rsidP="009D5B69">
      <w:pPr>
        <w:jc w:val="both"/>
        <w:rPr>
          <w:sz w:val="28"/>
          <w:szCs w:val="28"/>
        </w:rPr>
      </w:pPr>
      <w:r w:rsidRPr="00F86CEE">
        <w:rPr>
          <w:sz w:val="28"/>
          <w:szCs w:val="28"/>
        </w:rPr>
        <w:t xml:space="preserve">Лечение Пипольфеном следует отменить за 72 часа перед началом кожных аллергических </w:t>
      </w:r>
      <w:r w:rsidR="00665A5C" w:rsidRPr="00F86CEE">
        <w:rPr>
          <w:sz w:val="28"/>
          <w:szCs w:val="28"/>
        </w:rPr>
        <w:t>проб</w:t>
      </w:r>
      <w:r w:rsidRPr="00F86CEE">
        <w:rPr>
          <w:sz w:val="28"/>
          <w:szCs w:val="28"/>
        </w:rPr>
        <w:t xml:space="preserve">, </w:t>
      </w:r>
      <w:r w:rsidR="00665A5C" w:rsidRPr="00F86CEE">
        <w:rPr>
          <w:sz w:val="28"/>
          <w:szCs w:val="28"/>
        </w:rPr>
        <w:t>поскольку прометазин ингибирует высвобождение гистамина, и его применение может привести к ложно-отрицательному результату</w:t>
      </w:r>
      <w:r w:rsidRPr="00F86CEE">
        <w:rPr>
          <w:sz w:val="28"/>
          <w:szCs w:val="28"/>
        </w:rPr>
        <w:t>.</w:t>
      </w:r>
    </w:p>
    <w:p w:rsidR="009D5B69" w:rsidRPr="00F86CEE" w:rsidRDefault="009D5B69" w:rsidP="00961AB9">
      <w:pPr>
        <w:jc w:val="both"/>
        <w:rPr>
          <w:sz w:val="28"/>
          <w:szCs w:val="28"/>
        </w:rPr>
      </w:pPr>
    </w:p>
    <w:p w:rsidR="000C2ED3" w:rsidRPr="00F86CEE" w:rsidRDefault="00112259" w:rsidP="000C2ED3">
      <w:pPr>
        <w:jc w:val="both"/>
        <w:rPr>
          <w:sz w:val="28"/>
        </w:rPr>
      </w:pPr>
      <w:r w:rsidRPr="00F86CEE">
        <w:rPr>
          <w:b/>
          <w:sz w:val="28"/>
        </w:rPr>
        <w:t>Особые указания</w:t>
      </w:r>
      <w:r w:rsidRPr="00F86CEE">
        <w:rPr>
          <w:sz w:val="28"/>
        </w:rPr>
        <w:t xml:space="preserve"> </w:t>
      </w:r>
    </w:p>
    <w:p w:rsidR="005C728C" w:rsidRPr="00F86CEE" w:rsidRDefault="00112259" w:rsidP="005C728C">
      <w:pPr>
        <w:jc w:val="both"/>
        <w:rPr>
          <w:b/>
          <w:sz w:val="28"/>
        </w:rPr>
      </w:pPr>
      <w:r w:rsidRPr="00F86CEE">
        <w:rPr>
          <w:snapToGrid w:val="0"/>
          <w:sz w:val="28"/>
        </w:rPr>
        <w:t xml:space="preserve">Внутривенное введение следует проводить с </w:t>
      </w:r>
      <w:r w:rsidR="00273F67" w:rsidRPr="00F86CEE">
        <w:rPr>
          <w:snapToGrid w:val="0"/>
          <w:sz w:val="28"/>
        </w:rPr>
        <w:t xml:space="preserve">исключительной </w:t>
      </w:r>
      <w:r w:rsidRPr="00F86CEE">
        <w:rPr>
          <w:snapToGrid w:val="0"/>
          <w:sz w:val="28"/>
        </w:rPr>
        <w:t>осторожностью</w:t>
      </w:r>
      <w:r w:rsidR="00800DB1" w:rsidRPr="00F86CEE">
        <w:rPr>
          <w:snapToGrid w:val="0"/>
          <w:sz w:val="28"/>
        </w:rPr>
        <w:t>,</w:t>
      </w:r>
      <w:r w:rsidRPr="00F86CEE">
        <w:rPr>
          <w:snapToGrid w:val="0"/>
          <w:sz w:val="28"/>
        </w:rPr>
        <w:t xml:space="preserve"> </w:t>
      </w:r>
      <w:r w:rsidR="00800DB1" w:rsidRPr="00F86CEE">
        <w:rPr>
          <w:snapToGrid w:val="0"/>
          <w:sz w:val="28"/>
        </w:rPr>
        <w:t>чтобы избежать</w:t>
      </w:r>
      <w:r w:rsidRPr="00F86CEE">
        <w:rPr>
          <w:snapToGrid w:val="0"/>
          <w:sz w:val="28"/>
        </w:rPr>
        <w:t xml:space="preserve"> экстравазации или непреднамеренного интраартериального введения.</w:t>
      </w:r>
      <w:r w:rsidR="00273F67" w:rsidRPr="00F86CEE">
        <w:rPr>
          <w:snapToGrid w:val="0"/>
          <w:sz w:val="28"/>
        </w:rPr>
        <w:t xml:space="preserve"> </w:t>
      </w:r>
      <w:r w:rsidRPr="00F86CEE">
        <w:rPr>
          <w:snapToGrid w:val="0"/>
          <w:sz w:val="28"/>
        </w:rPr>
        <w:t xml:space="preserve">Если пациент жалуется на боль при внутривенной инъекции, следует немедленно прекратить введение препарата, так как боль может </w:t>
      </w:r>
      <w:r w:rsidR="006E4B2B" w:rsidRPr="00F86CEE">
        <w:rPr>
          <w:snapToGrid w:val="0"/>
          <w:sz w:val="28"/>
        </w:rPr>
        <w:t xml:space="preserve">быть </w:t>
      </w:r>
      <w:r w:rsidRPr="00F86CEE">
        <w:rPr>
          <w:snapToGrid w:val="0"/>
          <w:sz w:val="28"/>
        </w:rPr>
        <w:t>признаком экстравазации или непреднамеренного интра-артериального введения.</w:t>
      </w:r>
      <w:r w:rsidR="00273F67" w:rsidRPr="00F86CEE">
        <w:rPr>
          <w:snapToGrid w:val="0"/>
          <w:sz w:val="28"/>
        </w:rPr>
        <w:t xml:space="preserve"> </w:t>
      </w:r>
      <w:r w:rsidRPr="00F86CEE">
        <w:rPr>
          <w:snapToGrid w:val="0"/>
          <w:sz w:val="28"/>
        </w:rPr>
        <w:t xml:space="preserve">При внутримышечном введении также требуется соблюдать осторожность во </w:t>
      </w:r>
      <w:r w:rsidR="00F23D53" w:rsidRPr="00F86CEE">
        <w:rPr>
          <w:snapToGrid w:val="0"/>
          <w:sz w:val="28"/>
        </w:rPr>
        <w:t>избежание</w:t>
      </w:r>
      <w:r w:rsidRPr="00F86CEE">
        <w:rPr>
          <w:snapToGrid w:val="0"/>
          <w:sz w:val="28"/>
        </w:rPr>
        <w:t xml:space="preserve"> случайного подкожного введения, которое может вызвать локальный некроз.</w:t>
      </w:r>
    </w:p>
    <w:p w:rsidR="005C728C" w:rsidRPr="00F86CEE" w:rsidRDefault="00112259" w:rsidP="005C728C">
      <w:pPr>
        <w:jc w:val="both"/>
        <w:rPr>
          <w:sz w:val="28"/>
          <w:szCs w:val="28"/>
        </w:rPr>
      </w:pPr>
      <w:r w:rsidRPr="00F86CEE">
        <w:rPr>
          <w:sz w:val="28"/>
          <w:szCs w:val="28"/>
        </w:rPr>
        <w:t>Чрезвычайная осторожность необходима при применении</w:t>
      </w:r>
      <w:r w:rsidR="00800DB1" w:rsidRPr="00F86CEE">
        <w:t xml:space="preserve"> </w:t>
      </w:r>
      <w:r w:rsidR="00800DB1" w:rsidRPr="00F86CEE">
        <w:rPr>
          <w:sz w:val="28"/>
          <w:szCs w:val="28"/>
        </w:rPr>
        <w:t>прометазина</w:t>
      </w:r>
      <w:r w:rsidRPr="00F86CEE">
        <w:rPr>
          <w:sz w:val="28"/>
          <w:szCs w:val="28"/>
        </w:rPr>
        <w:t xml:space="preserve"> (особенно высоких доз</w:t>
      </w:r>
      <w:r w:rsidR="00800DB1" w:rsidRPr="00F86CEE">
        <w:t xml:space="preserve"> </w:t>
      </w:r>
      <w:r w:rsidR="00800DB1" w:rsidRPr="00F86CEE">
        <w:rPr>
          <w:sz w:val="28"/>
          <w:szCs w:val="28"/>
        </w:rPr>
        <w:t>или при парентеральном применении</w:t>
      </w:r>
      <w:r w:rsidRPr="00F86CEE">
        <w:rPr>
          <w:sz w:val="28"/>
          <w:szCs w:val="28"/>
        </w:rPr>
        <w:t>) у пациентов пожилого возраста из-за повышенного риска развития тяжелых нежелательных эффектов. Пациенты пожилого возраста особенно чувствительны к антихолинэргическим эффектам Пипольфена, который также может вызвать спутанность сознания.</w:t>
      </w:r>
    </w:p>
    <w:p w:rsidR="005C728C" w:rsidRPr="00F86CEE" w:rsidRDefault="00112259" w:rsidP="005C728C">
      <w:pPr>
        <w:jc w:val="both"/>
        <w:rPr>
          <w:sz w:val="28"/>
          <w:szCs w:val="28"/>
        </w:rPr>
      </w:pPr>
      <w:r w:rsidRPr="00F86CEE">
        <w:rPr>
          <w:sz w:val="28"/>
          <w:szCs w:val="28"/>
        </w:rPr>
        <w:t>При наличии признаков и симптомов болезни Рейе препарат следует отменить.</w:t>
      </w:r>
    </w:p>
    <w:p w:rsidR="005C728C" w:rsidRPr="00F86CEE" w:rsidRDefault="00112259" w:rsidP="005C728C">
      <w:pPr>
        <w:jc w:val="both"/>
        <w:rPr>
          <w:sz w:val="28"/>
          <w:szCs w:val="28"/>
        </w:rPr>
      </w:pPr>
      <w:r w:rsidRPr="00F86CEE">
        <w:rPr>
          <w:sz w:val="28"/>
          <w:szCs w:val="28"/>
        </w:rPr>
        <w:lastRenderedPageBreak/>
        <w:t xml:space="preserve">Прометазин </w:t>
      </w:r>
      <w:r w:rsidR="00D607D3" w:rsidRPr="00F86CEE">
        <w:rPr>
          <w:sz w:val="28"/>
          <w:szCs w:val="28"/>
        </w:rPr>
        <w:t xml:space="preserve">может маскировать признаки-предвестники ототоксичности, вызванные ототоксичными медицинскими препаратами, например, салицилатами. Кроме того, вследствие подавления рвоты, </w:t>
      </w:r>
      <w:r w:rsidRPr="00F86CEE">
        <w:rPr>
          <w:sz w:val="28"/>
          <w:szCs w:val="28"/>
        </w:rPr>
        <w:t xml:space="preserve">Прометазин </w:t>
      </w:r>
      <w:r w:rsidR="00D607D3" w:rsidRPr="00F86CEE">
        <w:rPr>
          <w:sz w:val="28"/>
          <w:szCs w:val="28"/>
        </w:rPr>
        <w:t xml:space="preserve">препятствует раннему диагнозу кишечной непроходимости или повышенного внутричерепного давления. </w:t>
      </w:r>
    </w:p>
    <w:p w:rsidR="005C728C" w:rsidRPr="00F86CEE" w:rsidRDefault="00112259" w:rsidP="005C728C">
      <w:pPr>
        <w:jc w:val="both"/>
        <w:rPr>
          <w:sz w:val="28"/>
          <w:szCs w:val="28"/>
        </w:rPr>
      </w:pPr>
      <w:r w:rsidRPr="00F86CEE">
        <w:rPr>
          <w:sz w:val="28"/>
          <w:szCs w:val="28"/>
        </w:rPr>
        <w:t>Особую осторожность следует соблюдать при назначении препарата  пациентам с заболеваниями сердечно-сосудистой системы, почек и печени.</w:t>
      </w:r>
    </w:p>
    <w:p w:rsidR="005C728C" w:rsidRPr="00F86CEE" w:rsidRDefault="00112259" w:rsidP="005C728C">
      <w:pPr>
        <w:jc w:val="both"/>
        <w:rPr>
          <w:sz w:val="28"/>
          <w:szCs w:val="28"/>
        </w:rPr>
      </w:pPr>
      <w:r w:rsidRPr="00F86CEE">
        <w:rPr>
          <w:sz w:val="28"/>
          <w:szCs w:val="28"/>
        </w:rPr>
        <w:t xml:space="preserve">Прометазин </w:t>
      </w:r>
      <w:r w:rsidR="00D607D3" w:rsidRPr="00F86CEE">
        <w:rPr>
          <w:sz w:val="28"/>
          <w:szCs w:val="28"/>
        </w:rPr>
        <w:t>может выз</w:t>
      </w:r>
      <w:r w:rsidR="005000B8" w:rsidRPr="00F86CEE">
        <w:rPr>
          <w:sz w:val="28"/>
          <w:szCs w:val="28"/>
        </w:rPr>
        <w:t>ы</w:t>
      </w:r>
      <w:r w:rsidR="00D607D3" w:rsidRPr="00F86CEE">
        <w:rPr>
          <w:sz w:val="28"/>
          <w:szCs w:val="28"/>
        </w:rPr>
        <w:t>вать (в основном после парентерального введения) застойную желтуху.</w:t>
      </w:r>
    </w:p>
    <w:p w:rsidR="005C728C" w:rsidRPr="00F86CEE" w:rsidRDefault="00112259" w:rsidP="005C728C">
      <w:pPr>
        <w:jc w:val="both"/>
        <w:rPr>
          <w:sz w:val="28"/>
          <w:szCs w:val="28"/>
        </w:rPr>
      </w:pPr>
      <w:r w:rsidRPr="00F86CEE">
        <w:rPr>
          <w:sz w:val="28"/>
          <w:szCs w:val="28"/>
        </w:rPr>
        <w:t xml:space="preserve">Прометазин </w:t>
      </w:r>
      <w:r w:rsidR="00D607D3" w:rsidRPr="00F86CEE">
        <w:rPr>
          <w:sz w:val="28"/>
          <w:szCs w:val="28"/>
        </w:rPr>
        <w:t xml:space="preserve">снижает порог судорожной готовности. Это следует учитывать при лечении </w:t>
      </w:r>
      <w:r w:rsidR="005000B8" w:rsidRPr="00F86CEE">
        <w:rPr>
          <w:sz w:val="28"/>
          <w:szCs w:val="28"/>
        </w:rPr>
        <w:t>пациентов</w:t>
      </w:r>
      <w:r w:rsidR="00D607D3" w:rsidRPr="00F86CEE">
        <w:rPr>
          <w:sz w:val="28"/>
          <w:szCs w:val="28"/>
        </w:rPr>
        <w:t xml:space="preserve">, склонных к судорогам или получающих другие препараты аналогичного действия одновременно с </w:t>
      </w:r>
      <w:r w:rsidR="005000B8" w:rsidRPr="00F86CEE">
        <w:rPr>
          <w:sz w:val="28"/>
          <w:szCs w:val="28"/>
        </w:rPr>
        <w:t>Пипольфеном</w:t>
      </w:r>
      <w:r w:rsidR="00D607D3" w:rsidRPr="00F86CEE">
        <w:rPr>
          <w:sz w:val="28"/>
          <w:szCs w:val="28"/>
        </w:rPr>
        <w:t>.</w:t>
      </w:r>
    </w:p>
    <w:p w:rsidR="005C728C" w:rsidRPr="00F86CEE" w:rsidRDefault="00112259" w:rsidP="005C728C">
      <w:pPr>
        <w:jc w:val="both"/>
        <w:rPr>
          <w:sz w:val="28"/>
          <w:szCs w:val="28"/>
        </w:rPr>
      </w:pPr>
      <w:r w:rsidRPr="00F86CEE">
        <w:rPr>
          <w:sz w:val="28"/>
          <w:szCs w:val="28"/>
        </w:rPr>
        <w:t xml:space="preserve">Вследствие антихолинергического действия </w:t>
      </w:r>
      <w:r w:rsidR="005000B8" w:rsidRPr="00F86CEE">
        <w:rPr>
          <w:sz w:val="28"/>
          <w:szCs w:val="28"/>
        </w:rPr>
        <w:t xml:space="preserve">Пипольфена </w:t>
      </w:r>
      <w:r w:rsidRPr="00F86CEE">
        <w:rPr>
          <w:sz w:val="28"/>
          <w:szCs w:val="28"/>
        </w:rPr>
        <w:t xml:space="preserve">может наступить ухудшение течения некоторых заболеваний (закрытоугольная глаукома, стенозирующая язва желудка, обструкция шейки мочевого пузыря и/или гипертрофия предстательной железы). При назначении этого препарата пациентам с такими заболеваниями необходима </w:t>
      </w:r>
      <w:r w:rsidR="005000B8" w:rsidRPr="00F86CEE">
        <w:rPr>
          <w:sz w:val="28"/>
          <w:szCs w:val="28"/>
        </w:rPr>
        <w:t>особая</w:t>
      </w:r>
      <w:r w:rsidRPr="00F86CEE">
        <w:rPr>
          <w:sz w:val="28"/>
          <w:szCs w:val="28"/>
        </w:rPr>
        <w:t xml:space="preserve"> осторожность. </w:t>
      </w:r>
    </w:p>
    <w:p w:rsidR="005C728C" w:rsidRPr="00F86CEE" w:rsidRDefault="00112259" w:rsidP="005C728C">
      <w:pPr>
        <w:jc w:val="both"/>
        <w:rPr>
          <w:sz w:val="28"/>
          <w:szCs w:val="28"/>
        </w:rPr>
      </w:pPr>
      <w:r w:rsidRPr="00F86CEE">
        <w:rPr>
          <w:sz w:val="28"/>
          <w:szCs w:val="28"/>
        </w:rPr>
        <w:t xml:space="preserve">Прометазин </w:t>
      </w:r>
      <w:r w:rsidR="00D607D3" w:rsidRPr="00F86CEE">
        <w:rPr>
          <w:sz w:val="28"/>
          <w:szCs w:val="28"/>
        </w:rPr>
        <w:t xml:space="preserve">следует назначать с осторожностью </w:t>
      </w:r>
      <w:r w:rsidR="00823E4A" w:rsidRPr="00F86CEE">
        <w:rPr>
          <w:sz w:val="28"/>
          <w:szCs w:val="28"/>
        </w:rPr>
        <w:t>пациентам с</w:t>
      </w:r>
      <w:r w:rsidR="00D607D3" w:rsidRPr="00F86CEE">
        <w:rPr>
          <w:sz w:val="28"/>
          <w:szCs w:val="28"/>
        </w:rPr>
        <w:t xml:space="preserve"> астмой или </w:t>
      </w:r>
      <w:r w:rsidR="00823E4A" w:rsidRPr="00F86CEE">
        <w:rPr>
          <w:sz w:val="28"/>
          <w:szCs w:val="28"/>
        </w:rPr>
        <w:t xml:space="preserve">с </w:t>
      </w:r>
      <w:r w:rsidR="00D607D3" w:rsidRPr="00F86CEE">
        <w:rPr>
          <w:sz w:val="28"/>
          <w:szCs w:val="28"/>
        </w:rPr>
        <w:t xml:space="preserve">тяжелыми заболеваниями органов дыхания. Прометазин </w:t>
      </w:r>
      <w:r w:rsidR="00823E4A" w:rsidRPr="00F86CEE">
        <w:rPr>
          <w:sz w:val="28"/>
          <w:szCs w:val="28"/>
        </w:rPr>
        <w:t>может</w:t>
      </w:r>
      <w:r w:rsidR="00D607D3" w:rsidRPr="00F86CEE">
        <w:rPr>
          <w:sz w:val="28"/>
          <w:szCs w:val="28"/>
        </w:rPr>
        <w:t xml:space="preserve"> </w:t>
      </w:r>
      <w:r w:rsidR="00823E4A" w:rsidRPr="00F86CEE">
        <w:rPr>
          <w:sz w:val="28"/>
          <w:szCs w:val="28"/>
        </w:rPr>
        <w:t>с</w:t>
      </w:r>
      <w:r w:rsidR="00D607D3" w:rsidRPr="00F86CEE">
        <w:rPr>
          <w:sz w:val="28"/>
          <w:szCs w:val="28"/>
        </w:rPr>
        <w:t>ни</w:t>
      </w:r>
      <w:r w:rsidR="00823E4A" w:rsidRPr="00F86CEE">
        <w:rPr>
          <w:sz w:val="28"/>
          <w:szCs w:val="28"/>
        </w:rPr>
        <w:t>жа</w:t>
      </w:r>
      <w:r w:rsidR="00D607D3" w:rsidRPr="00F86CEE">
        <w:rPr>
          <w:sz w:val="28"/>
          <w:szCs w:val="28"/>
        </w:rPr>
        <w:t xml:space="preserve">ть влажность </w:t>
      </w:r>
      <w:r w:rsidR="00466182" w:rsidRPr="00F86CEE">
        <w:rPr>
          <w:sz w:val="28"/>
          <w:szCs w:val="28"/>
        </w:rPr>
        <w:t>слизистой дыхательных путей,</w:t>
      </w:r>
      <w:r w:rsidR="00D607D3" w:rsidRPr="00F86CEE">
        <w:rPr>
          <w:sz w:val="28"/>
          <w:szCs w:val="28"/>
        </w:rPr>
        <w:t xml:space="preserve"> </w:t>
      </w:r>
      <w:r w:rsidR="00466182" w:rsidRPr="00F86CEE">
        <w:rPr>
          <w:sz w:val="28"/>
          <w:szCs w:val="28"/>
        </w:rPr>
        <w:t>увеличи</w:t>
      </w:r>
      <w:r w:rsidR="00823E4A" w:rsidRPr="00F86CEE">
        <w:rPr>
          <w:sz w:val="28"/>
          <w:szCs w:val="28"/>
        </w:rPr>
        <w:t>ва</w:t>
      </w:r>
      <w:r w:rsidR="00466182" w:rsidRPr="00F86CEE">
        <w:rPr>
          <w:sz w:val="28"/>
          <w:szCs w:val="28"/>
        </w:rPr>
        <w:t>ть вязкость мокроты</w:t>
      </w:r>
      <w:r w:rsidR="00D607D3" w:rsidRPr="00F86CEE">
        <w:rPr>
          <w:sz w:val="28"/>
          <w:szCs w:val="28"/>
        </w:rPr>
        <w:t xml:space="preserve"> и ухудш</w:t>
      </w:r>
      <w:r w:rsidR="00823E4A" w:rsidRPr="00F86CEE">
        <w:rPr>
          <w:sz w:val="28"/>
          <w:szCs w:val="28"/>
        </w:rPr>
        <w:t>а</w:t>
      </w:r>
      <w:r w:rsidR="00D607D3" w:rsidRPr="00F86CEE">
        <w:rPr>
          <w:sz w:val="28"/>
          <w:szCs w:val="28"/>
        </w:rPr>
        <w:t xml:space="preserve">ть </w:t>
      </w:r>
      <w:r w:rsidR="00466182" w:rsidRPr="00F86CEE">
        <w:rPr>
          <w:sz w:val="28"/>
          <w:szCs w:val="28"/>
        </w:rPr>
        <w:t>ее выделение</w:t>
      </w:r>
      <w:r w:rsidR="00D607D3" w:rsidRPr="00F86CEE">
        <w:rPr>
          <w:sz w:val="28"/>
          <w:szCs w:val="28"/>
        </w:rPr>
        <w:t>, кроме того, он может вызвать угнетение дыхания с фатальным исходом.</w:t>
      </w:r>
    </w:p>
    <w:p w:rsidR="005C728C" w:rsidRPr="00F86CEE" w:rsidRDefault="00112259" w:rsidP="005C728C">
      <w:pPr>
        <w:jc w:val="both"/>
        <w:rPr>
          <w:sz w:val="28"/>
          <w:szCs w:val="28"/>
        </w:rPr>
      </w:pPr>
      <w:r w:rsidRPr="00F86CEE">
        <w:rPr>
          <w:sz w:val="28"/>
          <w:szCs w:val="28"/>
        </w:rPr>
        <w:t xml:space="preserve">Парадоксальные реакции. </w:t>
      </w:r>
      <w:r w:rsidR="00D607D3" w:rsidRPr="00F86CEE">
        <w:rPr>
          <w:sz w:val="28"/>
          <w:szCs w:val="28"/>
        </w:rPr>
        <w:t xml:space="preserve">Повышенная возбудимость и ненормальная моторика кишечника наблюдалась после однократного применения </w:t>
      </w:r>
      <w:r w:rsidR="005000B8" w:rsidRPr="00F86CEE">
        <w:rPr>
          <w:sz w:val="28"/>
          <w:szCs w:val="28"/>
        </w:rPr>
        <w:t>Пипольфена</w:t>
      </w:r>
      <w:r w:rsidR="00D607D3" w:rsidRPr="00F86CEE">
        <w:rPr>
          <w:sz w:val="28"/>
          <w:szCs w:val="28"/>
        </w:rPr>
        <w:t xml:space="preserve">. При развитии </w:t>
      </w:r>
      <w:r w:rsidR="005000B8" w:rsidRPr="00F86CEE">
        <w:rPr>
          <w:sz w:val="28"/>
          <w:szCs w:val="28"/>
        </w:rPr>
        <w:t>эт</w:t>
      </w:r>
      <w:r w:rsidR="00D607D3" w:rsidRPr="00F86CEE">
        <w:rPr>
          <w:sz w:val="28"/>
          <w:szCs w:val="28"/>
        </w:rPr>
        <w:t xml:space="preserve">их симптомов следует </w:t>
      </w:r>
      <w:r w:rsidR="005000B8" w:rsidRPr="00F86CEE">
        <w:rPr>
          <w:sz w:val="28"/>
          <w:szCs w:val="28"/>
        </w:rPr>
        <w:t>рассмотреть</w:t>
      </w:r>
      <w:r w:rsidR="00D607D3" w:rsidRPr="00F86CEE">
        <w:rPr>
          <w:sz w:val="28"/>
          <w:szCs w:val="28"/>
        </w:rPr>
        <w:t xml:space="preserve"> возможность отмены </w:t>
      </w:r>
      <w:r w:rsidRPr="00F86CEE">
        <w:rPr>
          <w:sz w:val="28"/>
          <w:szCs w:val="28"/>
        </w:rPr>
        <w:t xml:space="preserve">прометазина </w:t>
      </w:r>
      <w:r w:rsidR="00D607D3" w:rsidRPr="00F86CEE">
        <w:rPr>
          <w:sz w:val="28"/>
          <w:szCs w:val="28"/>
        </w:rPr>
        <w:t>и перехода на другие препараты.</w:t>
      </w:r>
    </w:p>
    <w:p w:rsidR="005C728C" w:rsidRPr="00F86CEE" w:rsidRDefault="00112259" w:rsidP="005C728C">
      <w:pPr>
        <w:jc w:val="both"/>
        <w:rPr>
          <w:sz w:val="28"/>
          <w:szCs w:val="28"/>
        </w:rPr>
      </w:pPr>
      <w:r w:rsidRPr="00F86CEE">
        <w:rPr>
          <w:sz w:val="28"/>
          <w:szCs w:val="28"/>
        </w:rPr>
        <w:t xml:space="preserve">При применении </w:t>
      </w:r>
      <w:r w:rsidR="00824F80" w:rsidRPr="00F86CEE">
        <w:rPr>
          <w:sz w:val="28"/>
          <w:szCs w:val="28"/>
        </w:rPr>
        <w:t xml:space="preserve">прометазина </w:t>
      </w:r>
      <w:r w:rsidRPr="00F86CEE">
        <w:rPr>
          <w:sz w:val="28"/>
          <w:szCs w:val="28"/>
        </w:rPr>
        <w:t xml:space="preserve">наблюдалось развитие злокачественного нейролептического синдрома </w:t>
      </w:r>
      <w:r w:rsidR="005000B8" w:rsidRPr="00F86CEE">
        <w:rPr>
          <w:sz w:val="28"/>
          <w:szCs w:val="28"/>
        </w:rPr>
        <w:t xml:space="preserve"> </w:t>
      </w:r>
      <w:r w:rsidRPr="00F86CEE">
        <w:rPr>
          <w:sz w:val="28"/>
          <w:szCs w:val="28"/>
        </w:rPr>
        <w:t>(ЗНС) с возможным фатальным исходом. К симптомам ЗНС относятся: гипирексия, мышечная ригидность, измененный психический статус, вегетативная нестабильность</w:t>
      </w:r>
      <w:r w:rsidR="006E4B2B" w:rsidRPr="00F86CEE">
        <w:rPr>
          <w:sz w:val="28"/>
          <w:szCs w:val="28"/>
        </w:rPr>
        <w:t xml:space="preserve">: </w:t>
      </w:r>
      <w:r w:rsidRPr="00F86CEE">
        <w:rPr>
          <w:sz w:val="28"/>
          <w:szCs w:val="28"/>
        </w:rPr>
        <w:t xml:space="preserve">нерегулярный пульс, нестабильное артериальное давление, тахикардия, нарушение сердечного ритма. При подозрении на ЗНС следует немедленно отменить </w:t>
      </w:r>
      <w:r w:rsidR="005000B8" w:rsidRPr="00F86CEE">
        <w:rPr>
          <w:sz w:val="28"/>
          <w:szCs w:val="28"/>
        </w:rPr>
        <w:t>Пипольфен</w:t>
      </w:r>
      <w:r w:rsidRPr="00F86CEE">
        <w:rPr>
          <w:sz w:val="28"/>
          <w:szCs w:val="28"/>
        </w:rPr>
        <w:t xml:space="preserve">. Так как наблюдались случаи рецидивов ЗНС при применении фенотиазинов, следует проявлять исключительную осторожность при повторном применении </w:t>
      </w:r>
      <w:r w:rsidR="00824F80" w:rsidRPr="00F86CEE">
        <w:rPr>
          <w:sz w:val="28"/>
          <w:szCs w:val="28"/>
        </w:rPr>
        <w:t>прометазина</w:t>
      </w:r>
      <w:r w:rsidRPr="00F86CEE">
        <w:rPr>
          <w:sz w:val="28"/>
          <w:szCs w:val="28"/>
        </w:rPr>
        <w:t>.</w:t>
      </w:r>
    </w:p>
    <w:p w:rsidR="00697595" w:rsidRPr="00F86CEE" w:rsidRDefault="00112259" w:rsidP="005C728C">
      <w:pPr>
        <w:jc w:val="both"/>
        <w:rPr>
          <w:sz w:val="28"/>
          <w:szCs w:val="28"/>
        </w:rPr>
      </w:pPr>
      <w:r w:rsidRPr="00F86CEE">
        <w:rPr>
          <w:sz w:val="28"/>
          <w:szCs w:val="28"/>
        </w:rPr>
        <w:t xml:space="preserve">Во время </w:t>
      </w:r>
      <w:r w:rsidR="005000B8" w:rsidRPr="00F86CEE">
        <w:rPr>
          <w:sz w:val="28"/>
          <w:szCs w:val="28"/>
        </w:rPr>
        <w:t xml:space="preserve">применения </w:t>
      </w:r>
      <w:r w:rsidR="00824F80" w:rsidRPr="00F86CEE">
        <w:rPr>
          <w:sz w:val="28"/>
          <w:szCs w:val="28"/>
        </w:rPr>
        <w:t xml:space="preserve">прометазина </w:t>
      </w:r>
      <w:r w:rsidRPr="00F86CEE">
        <w:rPr>
          <w:sz w:val="28"/>
          <w:szCs w:val="28"/>
        </w:rPr>
        <w:t>следует избегать употребление алкоголя.</w:t>
      </w:r>
    </w:p>
    <w:p w:rsidR="005C728C" w:rsidRPr="00F86CEE" w:rsidRDefault="00112259" w:rsidP="005C728C">
      <w:pPr>
        <w:jc w:val="both"/>
        <w:rPr>
          <w:sz w:val="28"/>
          <w:szCs w:val="28"/>
        </w:rPr>
      </w:pPr>
      <w:r w:rsidRPr="00F86CEE">
        <w:rPr>
          <w:sz w:val="28"/>
          <w:szCs w:val="28"/>
        </w:rPr>
        <w:t xml:space="preserve">Инъекции </w:t>
      </w:r>
      <w:r w:rsidR="00824F80" w:rsidRPr="00F86CEE">
        <w:rPr>
          <w:sz w:val="28"/>
          <w:szCs w:val="28"/>
        </w:rPr>
        <w:t xml:space="preserve">препарата </w:t>
      </w:r>
      <w:r w:rsidRPr="00F86CEE">
        <w:rPr>
          <w:sz w:val="28"/>
          <w:szCs w:val="28"/>
        </w:rPr>
        <w:t xml:space="preserve">Пипольфен содержат калия </w:t>
      </w:r>
      <w:r w:rsidR="00824F80" w:rsidRPr="00F86CEE">
        <w:rPr>
          <w:sz w:val="28"/>
          <w:szCs w:val="28"/>
        </w:rPr>
        <w:t xml:space="preserve">метабисульфит </w:t>
      </w:r>
      <w:r w:rsidRPr="00F86CEE">
        <w:rPr>
          <w:sz w:val="28"/>
          <w:szCs w:val="28"/>
        </w:rPr>
        <w:t xml:space="preserve">и </w:t>
      </w:r>
      <w:r w:rsidR="00824F80" w:rsidRPr="00F86CEE">
        <w:rPr>
          <w:sz w:val="28"/>
          <w:szCs w:val="28"/>
        </w:rPr>
        <w:t xml:space="preserve">натрия </w:t>
      </w:r>
      <w:r w:rsidRPr="00F86CEE">
        <w:rPr>
          <w:sz w:val="28"/>
          <w:szCs w:val="28"/>
        </w:rPr>
        <w:t>сульфит, которые в редких случаях могут вызывать тяжёлые аллергические реакции и бронхоспазм</w:t>
      </w:r>
      <w:r w:rsidR="00824F80" w:rsidRPr="00F86CEE">
        <w:rPr>
          <w:sz w:val="28"/>
          <w:szCs w:val="28"/>
        </w:rPr>
        <w:t>.</w:t>
      </w:r>
    </w:p>
    <w:p w:rsidR="00824F80" w:rsidRPr="00F86CEE" w:rsidRDefault="00112259" w:rsidP="005C728C">
      <w:pPr>
        <w:jc w:val="both"/>
        <w:rPr>
          <w:sz w:val="28"/>
          <w:szCs w:val="28"/>
        </w:rPr>
      </w:pPr>
      <w:r w:rsidRPr="00F86CEE">
        <w:rPr>
          <w:sz w:val="28"/>
          <w:szCs w:val="28"/>
        </w:rPr>
        <w:t>Во время приема прометазина возможны ложноотрицательные или ложноположительные результаты диагностических аллергических тестов или тестов на беременность.</w:t>
      </w:r>
    </w:p>
    <w:p w:rsidR="005C728C" w:rsidRPr="00F86CEE" w:rsidRDefault="00112259" w:rsidP="005C728C">
      <w:pPr>
        <w:jc w:val="both"/>
        <w:rPr>
          <w:sz w:val="28"/>
          <w:szCs w:val="28"/>
          <w:lang w:val="hu-HU"/>
        </w:rPr>
      </w:pPr>
      <w:r w:rsidRPr="00F86CEE">
        <w:rPr>
          <w:sz w:val="28"/>
          <w:szCs w:val="28"/>
        </w:rPr>
        <w:t xml:space="preserve">Пипольфен </w:t>
      </w:r>
      <w:r w:rsidR="00D607D3" w:rsidRPr="00F86CEE">
        <w:rPr>
          <w:sz w:val="28"/>
          <w:szCs w:val="28"/>
        </w:rPr>
        <w:t>может повы</w:t>
      </w:r>
      <w:r w:rsidRPr="00F86CEE">
        <w:rPr>
          <w:sz w:val="28"/>
          <w:szCs w:val="28"/>
        </w:rPr>
        <w:t>ша</w:t>
      </w:r>
      <w:r w:rsidR="00D607D3" w:rsidRPr="00F86CEE">
        <w:rPr>
          <w:sz w:val="28"/>
          <w:szCs w:val="28"/>
        </w:rPr>
        <w:t>ть толерантность к глюкозе.</w:t>
      </w:r>
    </w:p>
    <w:p w:rsidR="005F2D4D" w:rsidRPr="00F86CEE" w:rsidRDefault="00112259" w:rsidP="005F2D4D">
      <w:pPr>
        <w:pStyle w:val="ae"/>
        <w:rPr>
          <w:i/>
          <w:sz w:val="28"/>
          <w:szCs w:val="28"/>
        </w:rPr>
      </w:pPr>
      <w:r w:rsidRPr="00F86CEE">
        <w:rPr>
          <w:i/>
          <w:sz w:val="28"/>
          <w:szCs w:val="28"/>
        </w:rPr>
        <w:t>Применение в педиатрии</w:t>
      </w:r>
    </w:p>
    <w:p w:rsidR="00824F80" w:rsidRPr="00F86CEE" w:rsidRDefault="00112259" w:rsidP="00824F80">
      <w:pPr>
        <w:jc w:val="both"/>
        <w:rPr>
          <w:sz w:val="28"/>
        </w:rPr>
      </w:pPr>
      <w:r w:rsidRPr="00F86CEE">
        <w:rPr>
          <w:sz w:val="28"/>
        </w:rPr>
        <w:lastRenderedPageBreak/>
        <w:t>Прометазин нельзя назначать детям младше 2 лет, в связи с возможностью развития фатального торможения дыхания.</w:t>
      </w:r>
    </w:p>
    <w:p w:rsidR="00824F80" w:rsidRPr="00F86CEE" w:rsidRDefault="00112259" w:rsidP="00824F80">
      <w:pPr>
        <w:jc w:val="both"/>
        <w:rPr>
          <w:sz w:val="28"/>
        </w:rPr>
      </w:pPr>
      <w:r w:rsidRPr="00F86CEE">
        <w:rPr>
          <w:sz w:val="28"/>
        </w:rPr>
        <w:t xml:space="preserve">У детей в возрасте от 2-х лет и старше прометазин следует применять с исключительной осторожностью. </w:t>
      </w:r>
    </w:p>
    <w:p w:rsidR="00824F80" w:rsidRPr="00F86CEE" w:rsidRDefault="00112259" w:rsidP="00824F80">
      <w:pPr>
        <w:jc w:val="both"/>
        <w:rPr>
          <w:sz w:val="28"/>
        </w:rPr>
      </w:pPr>
      <w:r w:rsidRPr="00F86CEE">
        <w:rPr>
          <w:sz w:val="28"/>
        </w:rPr>
        <w:t>Детям в возрасте от 2-х лет и старше рекомендуется назначать самую низкую эффективную дозу прометазина и избегать параллельного использования других препаратов, тормозящих дыхание.</w:t>
      </w:r>
    </w:p>
    <w:p w:rsidR="00824F80" w:rsidRPr="00F86CEE" w:rsidRDefault="00112259" w:rsidP="00824F80">
      <w:pPr>
        <w:jc w:val="both"/>
        <w:rPr>
          <w:sz w:val="28"/>
          <w:szCs w:val="28"/>
        </w:rPr>
      </w:pPr>
      <w:r w:rsidRPr="00F86CEE">
        <w:rPr>
          <w:sz w:val="28"/>
          <w:szCs w:val="28"/>
        </w:rPr>
        <w:t>У детей прометазин также следует применять с исключительной осторожностью, пока не установлен основной диагноз заболевания, так как симптомы не диагностированной энцефалопатии, синдрома Рейе и побочных эффектов препарата прометазина имеют определенные сходства.</w:t>
      </w:r>
    </w:p>
    <w:p w:rsidR="00D75028" w:rsidRPr="00F86CEE" w:rsidRDefault="00112259" w:rsidP="000546C9">
      <w:pPr>
        <w:jc w:val="both"/>
        <w:rPr>
          <w:i/>
          <w:sz w:val="28"/>
        </w:rPr>
      </w:pPr>
      <w:r w:rsidRPr="00F86CEE">
        <w:rPr>
          <w:i/>
          <w:sz w:val="28"/>
        </w:rPr>
        <w:t>Беременность и период лактации</w:t>
      </w:r>
    </w:p>
    <w:p w:rsidR="005000B8" w:rsidRPr="00F86CEE" w:rsidRDefault="00112259" w:rsidP="005430F9">
      <w:pPr>
        <w:jc w:val="both"/>
        <w:rPr>
          <w:sz w:val="28"/>
          <w:szCs w:val="28"/>
        </w:rPr>
      </w:pPr>
      <w:r w:rsidRPr="00F86CEE">
        <w:rPr>
          <w:sz w:val="28"/>
          <w:szCs w:val="28"/>
        </w:rPr>
        <w:t xml:space="preserve">Препарат Пипольфен не следует назначать в период беременности, за исключением случаев, когда врач считает это абсолютно необходимым. </w:t>
      </w:r>
      <w:r w:rsidR="00D607D3" w:rsidRPr="00F86CEE">
        <w:rPr>
          <w:sz w:val="28"/>
          <w:szCs w:val="28"/>
        </w:rPr>
        <w:t>Применение Пипольфена не рекомендуется за 2 недели до родов в связи с риском развития перевозбуждения у новорожденного.</w:t>
      </w:r>
    </w:p>
    <w:p w:rsidR="00665A5C" w:rsidRPr="00F86CEE" w:rsidRDefault="00112259" w:rsidP="00665A5C">
      <w:pPr>
        <w:jc w:val="both"/>
        <w:rPr>
          <w:sz w:val="28"/>
          <w:szCs w:val="28"/>
          <w:lang w:val="hu-HU"/>
        </w:rPr>
      </w:pPr>
      <w:r w:rsidRPr="00F86CEE">
        <w:rPr>
          <w:sz w:val="28"/>
          <w:szCs w:val="28"/>
        </w:rPr>
        <w:t xml:space="preserve">По имеющимся данным, лишь минимальные количества прометазина секретируется в </w:t>
      </w:r>
      <w:r w:rsidR="00824F80" w:rsidRPr="00F86CEE">
        <w:rPr>
          <w:sz w:val="28"/>
          <w:szCs w:val="28"/>
        </w:rPr>
        <w:t>грудное</w:t>
      </w:r>
      <w:r w:rsidRPr="00F86CEE">
        <w:rPr>
          <w:sz w:val="28"/>
          <w:szCs w:val="28"/>
        </w:rPr>
        <w:t xml:space="preserve"> молоко. Несмотря на это, нельзя исключить риск развития </w:t>
      </w:r>
      <w:r w:rsidR="00824F80" w:rsidRPr="00F86CEE">
        <w:rPr>
          <w:sz w:val="28"/>
          <w:szCs w:val="28"/>
        </w:rPr>
        <w:t xml:space="preserve">раздражительности и </w:t>
      </w:r>
      <w:r w:rsidRPr="00F86CEE">
        <w:rPr>
          <w:sz w:val="28"/>
          <w:szCs w:val="28"/>
        </w:rPr>
        <w:t>перевозбуждения у новорожденного.</w:t>
      </w:r>
    </w:p>
    <w:p w:rsidR="00665A5C" w:rsidRPr="00F86CEE" w:rsidRDefault="00112259" w:rsidP="005430F9">
      <w:pPr>
        <w:jc w:val="both"/>
        <w:rPr>
          <w:b/>
          <w:i/>
          <w:sz w:val="28"/>
          <w:szCs w:val="28"/>
        </w:rPr>
      </w:pPr>
      <w:r w:rsidRPr="00F86CEE">
        <w:rPr>
          <w:i/>
          <w:sz w:val="28"/>
          <w:szCs w:val="28"/>
        </w:rPr>
        <w:t>Особенности влияния лекарственного средства на способность управлять транспортным средством или потенциально опасными механизмами</w:t>
      </w:r>
      <w:r w:rsidRPr="00F86CEE">
        <w:rPr>
          <w:b/>
          <w:i/>
          <w:sz w:val="28"/>
          <w:szCs w:val="28"/>
        </w:rPr>
        <w:t xml:space="preserve"> </w:t>
      </w:r>
    </w:p>
    <w:p w:rsidR="00665A5C" w:rsidRPr="00F86CEE" w:rsidRDefault="00112259" w:rsidP="00665A5C">
      <w:pPr>
        <w:jc w:val="both"/>
        <w:rPr>
          <w:strike/>
          <w:sz w:val="28"/>
          <w:szCs w:val="28"/>
        </w:rPr>
      </w:pPr>
      <w:r w:rsidRPr="00F86CEE">
        <w:rPr>
          <w:sz w:val="28"/>
          <w:szCs w:val="28"/>
        </w:rPr>
        <w:t xml:space="preserve">Пипольфен снижает умственную и физическую работоспособность пациентов, в связи с чем, в начале лечения </w:t>
      </w:r>
      <w:r w:rsidR="00904CBF" w:rsidRPr="00F86CEE">
        <w:rPr>
          <w:sz w:val="28"/>
          <w:szCs w:val="28"/>
        </w:rPr>
        <w:t>необходимо</w:t>
      </w:r>
      <w:r w:rsidR="00824F80" w:rsidRPr="00F86CEE">
        <w:t xml:space="preserve"> </w:t>
      </w:r>
      <w:r w:rsidR="00824F80" w:rsidRPr="00F86CEE">
        <w:rPr>
          <w:sz w:val="28"/>
          <w:szCs w:val="28"/>
        </w:rPr>
        <w:t xml:space="preserve">запрещено  </w:t>
      </w:r>
      <w:r w:rsidR="00904CBF" w:rsidRPr="00F86CEE">
        <w:rPr>
          <w:sz w:val="28"/>
          <w:szCs w:val="28"/>
        </w:rPr>
        <w:t>управлени</w:t>
      </w:r>
      <w:r w:rsidR="00824F80" w:rsidRPr="00F86CEE">
        <w:rPr>
          <w:sz w:val="28"/>
          <w:szCs w:val="28"/>
        </w:rPr>
        <w:t>е</w:t>
      </w:r>
      <w:r w:rsidR="00904CBF" w:rsidRPr="00F86CEE">
        <w:rPr>
          <w:sz w:val="28"/>
          <w:szCs w:val="28"/>
        </w:rPr>
        <w:t xml:space="preserve"> транспортными средствами и заняти</w:t>
      </w:r>
      <w:r w:rsidR="00824F80" w:rsidRPr="00F86CEE">
        <w:rPr>
          <w:sz w:val="28"/>
          <w:szCs w:val="28"/>
        </w:rPr>
        <w:t>я</w:t>
      </w:r>
      <w:r w:rsidR="00904CBF" w:rsidRPr="00F86CEE">
        <w:rPr>
          <w:sz w:val="28"/>
          <w:szCs w:val="28"/>
        </w:rPr>
        <w:t xml:space="preserve"> потенциально опасными видами деятельности, требующими повышенной концентрации внимания и быстроты психомоторных реакций. </w:t>
      </w:r>
      <w:r w:rsidRPr="00F86CEE">
        <w:rPr>
          <w:sz w:val="28"/>
          <w:szCs w:val="28"/>
        </w:rPr>
        <w:t xml:space="preserve">Длительность периода ограничения определяются индивидуально. </w:t>
      </w:r>
    </w:p>
    <w:p w:rsidR="00665A5C" w:rsidRPr="00F86CEE" w:rsidRDefault="00665A5C" w:rsidP="005430F9">
      <w:pPr>
        <w:jc w:val="both"/>
        <w:rPr>
          <w:b/>
          <w:i/>
          <w:strike/>
          <w:sz w:val="28"/>
          <w:szCs w:val="28"/>
        </w:rPr>
      </w:pPr>
    </w:p>
    <w:p w:rsidR="0008735B" w:rsidRPr="00F86CEE" w:rsidRDefault="00112259" w:rsidP="0008735B">
      <w:pPr>
        <w:jc w:val="both"/>
        <w:rPr>
          <w:b/>
          <w:sz w:val="28"/>
          <w:szCs w:val="28"/>
        </w:rPr>
      </w:pPr>
      <w:r w:rsidRPr="00F86CEE">
        <w:rPr>
          <w:b/>
          <w:sz w:val="28"/>
          <w:szCs w:val="28"/>
        </w:rPr>
        <w:t>Передозировка</w:t>
      </w:r>
    </w:p>
    <w:p w:rsidR="007310FC" w:rsidRPr="00F86CEE" w:rsidRDefault="00112259" w:rsidP="0008735B">
      <w:pPr>
        <w:jc w:val="both"/>
        <w:rPr>
          <w:sz w:val="28"/>
          <w:szCs w:val="28"/>
        </w:rPr>
      </w:pPr>
      <w:r w:rsidRPr="00F86CEE">
        <w:rPr>
          <w:i/>
          <w:sz w:val="28"/>
          <w:szCs w:val="28"/>
        </w:rPr>
        <w:t>Симптомы</w:t>
      </w:r>
      <w:r w:rsidRPr="00F86CEE">
        <w:rPr>
          <w:sz w:val="28"/>
          <w:szCs w:val="28"/>
        </w:rPr>
        <w:t xml:space="preserve">: </w:t>
      </w:r>
      <w:r w:rsidR="00D607D3" w:rsidRPr="00F86CEE">
        <w:rPr>
          <w:sz w:val="28"/>
          <w:szCs w:val="28"/>
        </w:rPr>
        <w:t xml:space="preserve">у детей возможны симптомы возбуждения, атаксии, нарушения координации движений, атетоза и галлюцинации. У взрослых возможны симптомы сонливости с переходом в кому. Как у взрослых, так и у детей наблюдались судороги, которым может предшествовать кома или перевозбуждение. Угнетение сердечной деятельности и дыхания </w:t>
      </w:r>
      <w:r w:rsidR="00904CBF" w:rsidRPr="00F86CEE">
        <w:rPr>
          <w:sz w:val="28"/>
          <w:szCs w:val="28"/>
        </w:rPr>
        <w:t>отмечаются нечасто</w:t>
      </w:r>
      <w:r w:rsidR="00D607D3" w:rsidRPr="00F86CEE">
        <w:rPr>
          <w:sz w:val="28"/>
          <w:szCs w:val="28"/>
        </w:rPr>
        <w:t xml:space="preserve">. </w:t>
      </w:r>
    </w:p>
    <w:p w:rsidR="008253D4" w:rsidRPr="00F86CEE" w:rsidRDefault="00112259" w:rsidP="0008735B">
      <w:pPr>
        <w:jc w:val="both"/>
        <w:rPr>
          <w:sz w:val="28"/>
          <w:lang w:val="kk-KZ"/>
        </w:rPr>
      </w:pPr>
      <w:r w:rsidRPr="00F86CEE">
        <w:rPr>
          <w:i/>
          <w:sz w:val="28"/>
          <w:szCs w:val="28"/>
        </w:rPr>
        <w:t>Лечение</w:t>
      </w:r>
      <w:r w:rsidRPr="00F86CEE">
        <w:rPr>
          <w:sz w:val="28"/>
          <w:szCs w:val="28"/>
        </w:rPr>
        <w:t xml:space="preserve">: </w:t>
      </w:r>
      <w:r w:rsidR="00824F80" w:rsidRPr="00F86CEE">
        <w:rPr>
          <w:sz w:val="28"/>
          <w:szCs w:val="28"/>
        </w:rPr>
        <w:t xml:space="preserve">если пациент </w:t>
      </w:r>
      <w:r w:rsidR="005F3F47" w:rsidRPr="00F86CEE">
        <w:rPr>
          <w:sz w:val="28"/>
          <w:szCs w:val="28"/>
        </w:rPr>
        <w:t>обратился</w:t>
      </w:r>
      <w:r w:rsidR="00824F80" w:rsidRPr="00F86CEE">
        <w:rPr>
          <w:sz w:val="28"/>
          <w:szCs w:val="28"/>
        </w:rPr>
        <w:t xml:space="preserve"> к врачу вскоре после лекарственной экспозиции, то возможно вызвать рвоту, несмотря на противорвотный эффект прометазина. В качестве альтернативного метода можно применять промывание желудка. В</w:t>
      </w:r>
      <w:r w:rsidRPr="00F86CEE">
        <w:rPr>
          <w:sz w:val="28"/>
          <w:szCs w:val="28"/>
        </w:rPr>
        <w:t xml:space="preserve"> связи с отсутствием антидота назначают симптоматическую и поддерживающую терапию</w:t>
      </w:r>
      <w:r w:rsidR="00904CBF" w:rsidRPr="00F86CEE">
        <w:rPr>
          <w:sz w:val="28"/>
          <w:szCs w:val="28"/>
        </w:rPr>
        <w:t>,</w:t>
      </w:r>
      <w:r w:rsidRPr="00F86CEE">
        <w:rPr>
          <w:sz w:val="28"/>
          <w:szCs w:val="28"/>
        </w:rPr>
        <w:t xml:space="preserve"> </w:t>
      </w:r>
      <w:r w:rsidR="00904CBF" w:rsidRPr="00F86CEE">
        <w:rPr>
          <w:sz w:val="28"/>
          <w:szCs w:val="28"/>
        </w:rPr>
        <w:t xml:space="preserve">основной целью которой является поддержание адекватной дыхательной функции и сердечной деятельности. </w:t>
      </w:r>
      <w:r w:rsidRPr="00F86CEE">
        <w:rPr>
          <w:sz w:val="28"/>
          <w:szCs w:val="28"/>
        </w:rPr>
        <w:t>Можно назначить активированный уг</w:t>
      </w:r>
      <w:r w:rsidR="00904CBF" w:rsidRPr="00F86CEE">
        <w:rPr>
          <w:sz w:val="28"/>
          <w:szCs w:val="28"/>
        </w:rPr>
        <w:t xml:space="preserve">оль и/или промывание желудка. </w:t>
      </w:r>
      <w:r w:rsidRPr="00F86CEE">
        <w:rPr>
          <w:sz w:val="28"/>
          <w:szCs w:val="28"/>
        </w:rPr>
        <w:t>Судороги следует устранять введением диазеп</w:t>
      </w:r>
      <w:r w:rsidR="00904CBF" w:rsidRPr="00F86CEE">
        <w:rPr>
          <w:sz w:val="28"/>
          <w:szCs w:val="28"/>
        </w:rPr>
        <w:t>ама</w:t>
      </w:r>
      <w:r w:rsidR="00904CBF" w:rsidRPr="00F86CEE">
        <w:rPr>
          <w:snapToGrid w:val="0"/>
          <w:sz w:val="22"/>
          <w:szCs w:val="24"/>
        </w:rPr>
        <w:t xml:space="preserve">  </w:t>
      </w:r>
      <w:r w:rsidR="00904CBF" w:rsidRPr="00F86CEE">
        <w:rPr>
          <w:sz w:val="28"/>
          <w:szCs w:val="28"/>
        </w:rPr>
        <w:t xml:space="preserve">или других подходящих антиконвульсивных препаратов. </w:t>
      </w:r>
      <w:r w:rsidRPr="00F86CEE">
        <w:rPr>
          <w:sz w:val="28"/>
          <w:szCs w:val="28"/>
        </w:rPr>
        <w:t xml:space="preserve">  Диализ не эффективен</w:t>
      </w:r>
      <w:r w:rsidR="00523A0C" w:rsidRPr="00F86CEE">
        <w:rPr>
          <w:sz w:val="28"/>
          <w:szCs w:val="28"/>
        </w:rPr>
        <w:t>.</w:t>
      </w:r>
    </w:p>
    <w:p w:rsidR="005F3F47" w:rsidRPr="00F86CEE" w:rsidRDefault="005F3F47" w:rsidP="000C2ED3">
      <w:pPr>
        <w:jc w:val="both"/>
        <w:rPr>
          <w:b/>
          <w:sz w:val="28"/>
          <w:szCs w:val="28"/>
          <w:lang w:val="kk-KZ"/>
        </w:rPr>
      </w:pPr>
    </w:p>
    <w:p w:rsidR="008253D4" w:rsidRPr="00F86CEE" w:rsidRDefault="00112259" w:rsidP="000C2ED3">
      <w:pPr>
        <w:jc w:val="both"/>
        <w:rPr>
          <w:b/>
          <w:sz w:val="28"/>
          <w:szCs w:val="28"/>
        </w:rPr>
      </w:pPr>
      <w:r w:rsidRPr="00F86CEE">
        <w:rPr>
          <w:b/>
          <w:sz w:val="28"/>
          <w:szCs w:val="28"/>
          <w:lang w:val="kk-KZ"/>
        </w:rPr>
        <w:lastRenderedPageBreak/>
        <w:t>Форма выпуска</w:t>
      </w:r>
      <w:r w:rsidR="00A82EB0" w:rsidRPr="00F86CEE">
        <w:rPr>
          <w:b/>
          <w:sz w:val="28"/>
          <w:szCs w:val="28"/>
          <w:lang w:val="kk-KZ"/>
        </w:rPr>
        <w:t xml:space="preserve"> и упаковка</w:t>
      </w:r>
    </w:p>
    <w:p w:rsidR="00D93156" w:rsidRPr="00F86CEE" w:rsidRDefault="00112259" w:rsidP="00D93156">
      <w:pPr>
        <w:jc w:val="both"/>
        <w:rPr>
          <w:bCs/>
          <w:sz w:val="28"/>
        </w:rPr>
      </w:pPr>
      <w:r w:rsidRPr="00F86CEE">
        <w:rPr>
          <w:bCs/>
          <w:sz w:val="28"/>
        </w:rPr>
        <w:t>По 2 мл в ампулах из бесцветного нейтрального стекла с точкой излома. На венчик ампул наносят несмываемой краской кодовое кольцо синего цвета.</w:t>
      </w:r>
    </w:p>
    <w:p w:rsidR="00D93156" w:rsidRPr="00F86CEE" w:rsidRDefault="00112259" w:rsidP="00D93156">
      <w:pPr>
        <w:jc w:val="both"/>
        <w:rPr>
          <w:bCs/>
          <w:sz w:val="28"/>
        </w:rPr>
      </w:pPr>
      <w:r w:rsidRPr="00F86CEE">
        <w:rPr>
          <w:bCs/>
          <w:sz w:val="28"/>
        </w:rPr>
        <w:t>На каждую ампулу наклеивают этикетку из бумаги самоклеящейся.</w:t>
      </w:r>
    </w:p>
    <w:p w:rsidR="00D93156" w:rsidRPr="00F86CEE" w:rsidRDefault="00112259" w:rsidP="00D93156">
      <w:pPr>
        <w:jc w:val="both"/>
        <w:rPr>
          <w:bCs/>
          <w:sz w:val="28"/>
        </w:rPr>
      </w:pPr>
      <w:r w:rsidRPr="00F86CEE">
        <w:rPr>
          <w:bCs/>
          <w:sz w:val="28"/>
        </w:rPr>
        <w:t>По 5 ампул помещают в контурную ячейковую упаковку из пленки ПВХ и пленки ПЭТФ/ПЭ.</w:t>
      </w:r>
    </w:p>
    <w:p w:rsidR="00D93156" w:rsidRPr="00F86CEE" w:rsidRDefault="00112259" w:rsidP="00D93156">
      <w:pPr>
        <w:jc w:val="both"/>
        <w:rPr>
          <w:bCs/>
          <w:sz w:val="28"/>
          <w:lang w:val="kk-KZ"/>
        </w:rPr>
      </w:pPr>
      <w:r w:rsidRPr="00F86CEE">
        <w:rPr>
          <w:bCs/>
          <w:sz w:val="28"/>
        </w:rPr>
        <w:t>По 2 контурные ячейковые упаковки вместе с инструкцией</w:t>
      </w:r>
      <w:r w:rsidR="00230935">
        <w:rPr>
          <w:bCs/>
          <w:sz w:val="28"/>
        </w:rPr>
        <w:t xml:space="preserve"> по медицинскому применению на казахском</w:t>
      </w:r>
      <w:r w:rsidRPr="00F86CEE">
        <w:rPr>
          <w:bCs/>
          <w:sz w:val="28"/>
        </w:rPr>
        <w:t xml:space="preserve"> и русском языках помещают в пачку из картона.</w:t>
      </w:r>
    </w:p>
    <w:p w:rsidR="003351D8" w:rsidRPr="00F86CEE" w:rsidRDefault="003351D8" w:rsidP="000C2ED3">
      <w:pPr>
        <w:jc w:val="both"/>
        <w:rPr>
          <w:b/>
          <w:sz w:val="28"/>
          <w:szCs w:val="28"/>
          <w:lang w:val="kk-KZ"/>
        </w:rPr>
      </w:pPr>
    </w:p>
    <w:p w:rsidR="008253D4" w:rsidRPr="00F86CEE" w:rsidRDefault="00112259" w:rsidP="000C2ED3">
      <w:pPr>
        <w:jc w:val="both"/>
        <w:rPr>
          <w:b/>
          <w:sz w:val="28"/>
          <w:szCs w:val="28"/>
        </w:rPr>
      </w:pPr>
      <w:r w:rsidRPr="00F86CEE">
        <w:rPr>
          <w:b/>
          <w:sz w:val="28"/>
          <w:szCs w:val="28"/>
        </w:rPr>
        <w:t>Условия хранения</w:t>
      </w:r>
    </w:p>
    <w:p w:rsidR="009A67FD" w:rsidRPr="00F86CEE" w:rsidRDefault="00112259" w:rsidP="009A67FD">
      <w:pPr>
        <w:jc w:val="both"/>
        <w:rPr>
          <w:sz w:val="28"/>
          <w:szCs w:val="28"/>
        </w:rPr>
      </w:pPr>
      <w:r w:rsidRPr="00F86CEE">
        <w:rPr>
          <w:sz w:val="28"/>
          <w:szCs w:val="28"/>
        </w:rPr>
        <w:t>Хранить при температуре не выше 25 °С, в защищенном от света месте.</w:t>
      </w:r>
    </w:p>
    <w:p w:rsidR="006C30C5" w:rsidRPr="00F86CEE" w:rsidRDefault="00112259" w:rsidP="000C2ED3">
      <w:pPr>
        <w:jc w:val="both"/>
        <w:rPr>
          <w:sz w:val="28"/>
          <w:szCs w:val="28"/>
        </w:rPr>
      </w:pPr>
      <w:r w:rsidRPr="00F86CEE">
        <w:rPr>
          <w:sz w:val="28"/>
          <w:szCs w:val="28"/>
        </w:rPr>
        <w:t>Хранить в недоступном для детей месте</w:t>
      </w:r>
      <w:r w:rsidR="00094284" w:rsidRPr="00F86CEE">
        <w:rPr>
          <w:sz w:val="28"/>
          <w:szCs w:val="28"/>
        </w:rPr>
        <w:t>!</w:t>
      </w:r>
    </w:p>
    <w:p w:rsidR="00A2504E" w:rsidRPr="00F86CEE" w:rsidRDefault="00A2504E" w:rsidP="000C2ED3">
      <w:pPr>
        <w:jc w:val="both"/>
        <w:rPr>
          <w:sz w:val="28"/>
          <w:szCs w:val="28"/>
        </w:rPr>
      </w:pPr>
    </w:p>
    <w:p w:rsidR="007D56CC" w:rsidRPr="00F86CEE" w:rsidRDefault="00112259" w:rsidP="000C2ED3">
      <w:pPr>
        <w:jc w:val="both"/>
        <w:rPr>
          <w:b/>
          <w:sz w:val="28"/>
          <w:szCs w:val="28"/>
        </w:rPr>
      </w:pPr>
      <w:r w:rsidRPr="00F86CEE">
        <w:rPr>
          <w:b/>
          <w:sz w:val="28"/>
          <w:szCs w:val="28"/>
        </w:rPr>
        <w:t xml:space="preserve">Срок </w:t>
      </w:r>
      <w:r w:rsidR="00A14098" w:rsidRPr="00F86CEE">
        <w:rPr>
          <w:b/>
          <w:sz w:val="28"/>
          <w:szCs w:val="28"/>
        </w:rPr>
        <w:t>хранения</w:t>
      </w:r>
    </w:p>
    <w:p w:rsidR="00D75028" w:rsidRPr="00F86CEE" w:rsidRDefault="00112259" w:rsidP="000C2ED3">
      <w:pPr>
        <w:jc w:val="both"/>
        <w:rPr>
          <w:sz w:val="28"/>
        </w:rPr>
      </w:pPr>
      <w:r w:rsidRPr="00F86CEE">
        <w:rPr>
          <w:sz w:val="28"/>
        </w:rPr>
        <w:t>5 лет</w:t>
      </w:r>
    </w:p>
    <w:p w:rsidR="00523A0C" w:rsidRPr="00F86CEE" w:rsidRDefault="00112259" w:rsidP="00523A0C">
      <w:pPr>
        <w:jc w:val="both"/>
        <w:rPr>
          <w:sz w:val="28"/>
          <w:szCs w:val="28"/>
        </w:rPr>
      </w:pPr>
      <w:r w:rsidRPr="00F86CEE">
        <w:rPr>
          <w:sz w:val="28"/>
          <w:szCs w:val="28"/>
        </w:rPr>
        <w:t xml:space="preserve">Не </w:t>
      </w:r>
      <w:r w:rsidR="009A67FD" w:rsidRPr="00F86CEE">
        <w:rPr>
          <w:sz w:val="28"/>
          <w:szCs w:val="28"/>
        </w:rPr>
        <w:t xml:space="preserve">применять </w:t>
      </w:r>
      <w:r w:rsidRPr="00F86CEE">
        <w:rPr>
          <w:sz w:val="28"/>
          <w:szCs w:val="28"/>
        </w:rPr>
        <w:t>по истечени</w:t>
      </w:r>
      <w:r w:rsidR="00AD52C9" w:rsidRPr="00F86CEE">
        <w:rPr>
          <w:sz w:val="28"/>
          <w:szCs w:val="28"/>
        </w:rPr>
        <w:t>и</w:t>
      </w:r>
      <w:r w:rsidRPr="00F86CEE">
        <w:rPr>
          <w:sz w:val="28"/>
          <w:szCs w:val="28"/>
        </w:rPr>
        <w:t xml:space="preserve"> срока годности.</w:t>
      </w:r>
    </w:p>
    <w:p w:rsidR="00A2504E" w:rsidRPr="00F86CEE" w:rsidRDefault="00A2504E" w:rsidP="000C2ED3">
      <w:pPr>
        <w:jc w:val="both"/>
        <w:rPr>
          <w:sz w:val="28"/>
          <w:szCs w:val="28"/>
        </w:rPr>
      </w:pPr>
    </w:p>
    <w:p w:rsidR="007D56CC" w:rsidRPr="00F86CEE" w:rsidRDefault="00112259" w:rsidP="000C2ED3">
      <w:pPr>
        <w:jc w:val="both"/>
        <w:rPr>
          <w:b/>
          <w:sz w:val="28"/>
          <w:szCs w:val="28"/>
        </w:rPr>
      </w:pPr>
      <w:r w:rsidRPr="00F86CEE">
        <w:rPr>
          <w:b/>
          <w:sz w:val="28"/>
          <w:szCs w:val="28"/>
        </w:rPr>
        <w:t>Условия отпуска из аптек</w:t>
      </w:r>
    </w:p>
    <w:p w:rsidR="006C30C5" w:rsidRPr="00F86CEE" w:rsidRDefault="00112259" w:rsidP="000C2ED3">
      <w:pPr>
        <w:jc w:val="both"/>
        <w:rPr>
          <w:sz w:val="28"/>
          <w:szCs w:val="28"/>
          <w:lang w:val="kk-KZ"/>
        </w:rPr>
      </w:pPr>
      <w:r w:rsidRPr="00F86CEE">
        <w:rPr>
          <w:sz w:val="28"/>
          <w:szCs w:val="28"/>
          <w:lang w:val="kk-KZ"/>
        </w:rPr>
        <w:t>По рецепту</w:t>
      </w:r>
    </w:p>
    <w:p w:rsidR="00B7642E" w:rsidRPr="00F86CEE" w:rsidRDefault="00B7642E" w:rsidP="00B7642E">
      <w:pPr>
        <w:ind w:left="426" w:hanging="426"/>
        <w:jc w:val="both"/>
        <w:rPr>
          <w:b/>
          <w:sz w:val="28"/>
          <w:szCs w:val="28"/>
        </w:rPr>
      </w:pPr>
    </w:p>
    <w:p w:rsidR="00B7642E" w:rsidRPr="00F86CEE" w:rsidRDefault="00112259" w:rsidP="00B7642E">
      <w:pPr>
        <w:ind w:left="426" w:hanging="426"/>
        <w:jc w:val="both"/>
        <w:rPr>
          <w:b/>
          <w:sz w:val="28"/>
          <w:szCs w:val="28"/>
        </w:rPr>
      </w:pPr>
      <w:r w:rsidRPr="00F86CEE">
        <w:rPr>
          <w:b/>
          <w:sz w:val="28"/>
          <w:szCs w:val="28"/>
        </w:rPr>
        <w:t>Производитель</w:t>
      </w:r>
    </w:p>
    <w:p w:rsidR="00B7642E" w:rsidRPr="00F86CEE" w:rsidRDefault="00112259" w:rsidP="00B7642E">
      <w:pPr>
        <w:ind w:left="426" w:hanging="426"/>
        <w:jc w:val="both"/>
        <w:rPr>
          <w:sz w:val="28"/>
          <w:szCs w:val="28"/>
        </w:rPr>
      </w:pPr>
      <w:r w:rsidRPr="00F86CEE">
        <w:rPr>
          <w:sz w:val="28"/>
          <w:szCs w:val="28"/>
        </w:rPr>
        <w:t>З</w:t>
      </w:r>
      <w:r w:rsidR="00D607D3" w:rsidRPr="00F86CEE">
        <w:rPr>
          <w:sz w:val="28"/>
          <w:szCs w:val="28"/>
        </w:rPr>
        <w:t xml:space="preserve">АО  </w:t>
      </w:r>
      <w:r w:rsidRPr="00F86CEE">
        <w:rPr>
          <w:sz w:val="28"/>
          <w:szCs w:val="28"/>
        </w:rPr>
        <w:t>«Фармацевтический завод ЭГИС»</w:t>
      </w:r>
    </w:p>
    <w:p w:rsidR="00B7642E" w:rsidRPr="00F86CEE" w:rsidRDefault="00112259" w:rsidP="00B7642E">
      <w:pPr>
        <w:ind w:left="426" w:hanging="426"/>
        <w:jc w:val="both"/>
        <w:rPr>
          <w:b/>
          <w:sz w:val="28"/>
          <w:szCs w:val="28"/>
        </w:rPr>
      </w:pPr>
      <w:r w:rsidRPr="00F86CEE">
        <w:rPr>
          <w:sz w:val="28"/>
          <w:szCs w:val="28"/>
        </w:rPr>
        <w:t>1106 Б</w:t>
      </w:r>
      <w:r w:rsidR="005F3F47" w:rsidRPr="00F86CEE">
        <w:rPr>
          <w:sz w:val="28"/>
          <w:szCs w:val="28"/>
        </w:rPr>
        <w:t>удапешт</w:t>
      </w:r>
      <w:r w:rsidRPr="00F86CEE">
        <w:rPr>
          <w:sz w:val="28"/>
          <w:szCs w:val="28"/>
        </w:rPr>
        <w:t>, ул. Керестури, 30-38  Венгрия</w:t>
      </w:r>
    </w:p>
    <w:p w:rsidR="00B7642E" w:rsidRPr="00F86CEE" w:rsidRDefault="00112259" w:rsidP="00B7642E">
      <w:pPr>
        <w:jc w:val="both"/>
        <w:rPr>
          <w:sz w:val="28"/>
          <w:szCs w:val="28"/>
        </w:rPr>
      </w:pPr>
      <w:r>
        <w:rPr>
          <w:sz w:val="28"/>
          <w:szCs w:val="28"/>
        </w:rPr>
        <w:t xml:space="preserve">Телефон: (36-1) 803-5555, </w:t>
      </w:r>
      <w:r w:rsidR="00D607D3" w:rsidRPr="00F86CEE">
        <w:rPr>
          <w:sz w:val="28"/>
          <w:szCs w:val="28"/>
        </w:rPr>
        <w:t xml:space="preserve">факс: (36-1) 803-5529 </w:t>
      </w:r>
    </w:p>
    <w:p w:rsidR="00B7642E" w:rsidRPr="00F86CEE" w:rsidRDefault="00112259" w:rsidP="00B7642E">
      <w:pPr>
        <w:pStyle w:val="2"/>
        <w:rPr>
          <w:rFonts w:ascii="Times New Roman" w:hAnsi="Times New Roman" w:cs="Times New Roman"/>
          <w:b w:val="0"/>
          <w:i w:val="0"/>
          <w:caps/>
          <w:spacing w:val="-5"/>
        </w:rPr>
      </w:pPr>
      <w:r w:rsidRPr="00AF4A4D">
        <w:rPr>
          <w:rFonts w:ascii="Times New Roman" w:hAnsi="Times New Roman" w:cs="Times New Roman"/>
          <w:i w:val="0"/>
          <w:spacing w:val="-5"/>
          <w:lang w:val="kk-KZ"/>
        </w:rPr>
        <w:t>Держатель</w:t>
      </w:r>
      <w:r w:rsidRPr="00063D05">
        <w:rPr>
          <w:rFonts w:ascii="Times New Roman" w:hAnsi="Times New Roman" w:cs="Times New Roman"/>
          <w:i w:val="0"/>
          <w:spacing w:val="-5"/>
        </w:rPr>
        <w:t xml:space="preserve"> </w:t>
      </w:r>
      <w:r w:rsidR="00D607D3" w:rsidRPr="00F86CEE">
        <w:rPr>
          <w:rFonts w:ascii="Times New Roman" w:hAnsi="Times New Roman" w:cs="Times New Roman"/>
          <w:i w:val="0"/>
          <w:spacing w:val="-5"/>
        </w:rPr>
        <w:t>регистрационного удостоверения</w:t>
      </w:r>
    </w:p>
    <w:p w:rsidR="00B7642E" w:rsidRPr="00F86CEE" w:rsidRDefault="00112259" w:rsidP="00B7642E">
      <w:pPr>
        <w:spacing w:line="240" w:lineRule="atLeast"/>
        <w:jc w:val="both"/>
        <w:rPr>
          <w:sz w:val="28"/>
          <w:szCs w:val="28"/>
        </w:rPr>
      </w:pPr>
      <w:r>
        <w:rPr>
          <w:bCs/>
          <w:sz w:val="28"/>
          <w:szCs w:val="28"/>
        </w:rPr>
        <w:t>ЗАО</w:t>
      </w:r>
      <w:r w:rsidR="00BF62F8" w:rsidRPr="00F86CEE">
        <w:rPr>
          <w:bCs/>
          <w:sz w:val="28"/>
          <w:szCs w:val="28"/>
        </w:rPr>
        <w:t xml:space="preserve"> «Фармацевтический завод ЭГИС»</w:t>
      </w:r>
      <w:r w:rsidR="00D607D3" w:rsidRPr="00F86CEE">
        <w:rPr>
          <w:bCs/>
          <w:sz w:val="28"/>
          <w:szCs w:val="28"/>
        </w:rPr>
        <w:t>, Венгрия</w:t>
      </w:r>
    </w:p>
    <w:p w:rsidR="00B7642E" w:rsidRPr="00F86CEE" w:rsidRDefault="00B7642E" w:rsidP="00B7642E">
      <w:pPr>
        <w:spacing w:line="240" w:lineRule="atLeast"/>
        <w:jc w:val="both"/>
        <w:rPr>
          <w:b/>
          <w:sz w:val="28"/>
          <w:szCs w:val="28"/>
        </w:rPr>
      </w:pPr>
    </w:p>
    <w:p w:rsidR="009A67FD" w:rsidRPr="00F86CEE" w:rsidRDefault="00112259" w:rsidP="009A67FD">
      <w:pPr>
        <w:autoSpaceDE w:val="0"/>
        <w:autoSpaceDN w:val="0"/>
        <w:jc w:val="both"/>
        <w:rPr>
          <w:b/>
          <w:bCs/>
          <w:i/>
          <w:iCs/>
          <w:sz w:val="28"/>
          <w:szCs w:val="28"/>
        </w:rPr>
      </w:pPr>
      <w:r w:rsidRPr="00F86CEE">
        <w:rPr>
          <w:b/>
          <w:bCs/>
          <w:i/>
          <w:iCs/>
          <w:sz w:val="28"/>
          <w:szCs w:val="28"/>
        </w:rPr>
        <w:t>Наименование, адрес и контактные данные (телефон, факс, электронная почта) организации на территории Республики Казахстан, принимающей, претензии (предложения) по качеству лекарственных средств от потребителей; ответственной за пострегистрационное наблюдение за безопасностью лекарственного средства</w:t>
      </w:r>
    </w:p>
    <w:p w:rsidR="00BF62F8" w:rsidRPr="00F86CEE" w:rsidRDefault="00112259" w:rsidP="00BF62F8">
      <w:pPr>
        <w:jc w:val="both"/>
        <w:rPr>
          <w:bCs/>
          <w:sz w:val="28"/>
          <w:szCs w:val="28"/>
        </w:rPr>
      </w:pPr>
      <w:r w:rsidRPr="00F86CEE">
        <w:rPr>
          <w:sz w:val="28"/>
          <w:szCs w:val="28"/>
        </w:rPr>
        <w:t xml:space="preserve">Представительство в РК   </w:t>
      </w:r>
      <w:r w:rsidR="00D607D3" w:rsidRPr="00F86CEE">
        <w:rPr>
          <w:bCs/>
          <w:sz w:val="28"/>
          <w:szCs w:val="28"/>
        </w:rPr>
        <w:t>ЗАО  «Фармацевтический завод ЭГИС»</w:t>
      </w:r>
    </w:p>
    <w:p w:rsidR="00B7642E" w:rsidRPr="00F86CEE" w:rsidRDefault="00112259" w:rsidP="00B7642E">
      <w:pPr>
        <w:jc w:val="both"/>
        <w:rPr>
          <w:sz w:val="28"/>
          <w:szCs w:val="28"/>
        </w:rPr>
      </w:pPr>
      <w:smartTag w:uri="urn:schemas-microsoft-com:office:smarttags" w:element="metricconverter">
        <w:smartTagPr>
          <w:attr w:name="ProductID" w:val="050060, г"/>
        </w:smartTagPr>
        <w:r w:rsidRPr="00F86CEE">
          <w:rPr>
            <w:sz w:val="28"/>
            <w:szCs w:val="24"/>
          </w:rPr>
          <w:t xml:space="preserve">050060, </w:t>
        </w:r>
        <w:r w:rsidRPr="00F86CEE">
          <w:rPr>
            <w:sz w:val="28"/>
            <w:szCs w:val="28"/>
          </w:rPr>
          <w:t>г</w:t>
        </w:r>
      </w:smartTag>
      <w:r w:rsidRPr="00F86CEE">
        <w:rPr>
          <w:sz w:val="28"/>
          <w:szCs w:val="28"/>
        </w:rPr>
        <w:t xml:space="preserve">. Алматы, ул. Жарокова </w:t>
      </w:r>
      <w:smartTag w:uri="urn:schemas-microsoft-com:office:smarttags" w:element="metricconverter">
        <w:smartTagPr>
          <w:attr w:name="ProductID" w:val="286 Г"/>
        </w:smartTagPr>
        <w:r w:rsidRPr="00F86CEE">
          <w:rPr>
            <w:sz w:val="28"/>
            <w:szCs w:val="28"/>
          </w:rPr>
          <w:t>286 Г</w:t>
        </w:r>
      </w:smartTag>
      <w:r w:rsidRPr="00F86CEE">
        <w:rPr>
          <w:sz w:val="28"/>
          <w:szCs w:val="28"/>
        </w:rPr>
        <w:t xml:space="preserve">  </w:t>
      </w:r>
    </w:p>
    <w:p w:rsidR="00B7642E" w:rsidRPr="00F86CEE" w:rsidRDefault="00112259" w:rsidP="00B7642E">
      <w:pPr>
        <w:rPr>
          <w:sz w:val="28"/>
          <w:szCs w:val="28"/>
        </w:rPr>
      </w:pPr>
      <w:r w:rsidRPr="00F86CEE">
        <w:rPr>
          <w:sz w:val="28"/>
          <w:szCs w:val="28"/>
        </w:rPr>
        <w:t>тел: + 7 (727) 247 63 34,</w:t>
      </w:r>
      <w:r w:rsidRPr="00F86CEE">
        <w:rPr>
          <w:sz w:val="28"/>
          <w:szCs w:val="28"/>
          <w:lang w:val="de-DE"/>
        </w:rPr>
        <w:t xml:space="preserve"> </w:t>
      </w:r>
      <w:r w:rsidRPr="00F86CEE">
        <w:rPr>
          <w:sz w:val="28"/>
          <w:szCs w:val="28"/>
        </w:rPr>
        <w:t xml:space="preserve">+ 7 (727) 247 63 33, факс: + 7 (727) 247 61 41  </w:t>
      </w:r>
    </w:p>
    <w:p w:rsidR="00F23D53" w:rsidRPr="00F86CEE" w:rsidRDefault="00112259" w:rsidP="00026D70">
      <w:pPr>
        <w:rPr>
          <w:b/>
          <w:snapToGrid w:val="0"/>
          <w:sz w:val="28"/>
          <w:szCs w:val="28"/>
        </w:rPr>
      </w:pPr>
      <w:r w:rsidRPr="00F86CEE">
        <w:rPr>
          <w:sz w:val="28"/>
          <w:szCs w:val="28"/>
          <w:lang w:val="de-DE"/>
        </w:rPr>
        <w:t xml:space="preserve">e-mail: </w:t>
      </w:r>
      <w:hyperlink r:id="rId9" w:history="1">
        <w:r w:rsidRPr="00F86CEE">
          <w:rPr>
            <w:rStyle w:val="af0"/>
            <w:color w:val="auto"/>
            <w:sz w:val="28"/>
            <w:szCs w:val="28"/>
            <w:lang w:val="de-DE"/>
          </w:rPr>
          <w:t>egis@egis.kz</w:t>
        </w:r>
      </w:hyperlink>
    </w:p>
    <w:sectPr w:rsidR="00F23D53" w:rsidRPr="00F86CEE" w:rsidSect="007C5951">
      <w:footerReference w:type="even" r:id="rId10"/>
      <w:footerReference w:type="default" r:id="rId11"/>
      <w:pgSz w:w="11906" w:h="16838"/>
      <w:pgMar w:top="1134" w:right="1134" w:bottom="1134" w:left="1701" w:header="72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A21" w:rsidRDefault="004A2A21">
      <w:r>
        <w:separator/>
      </w:r>
    </w:p>
  </w:endnote>
  <w:endnote w:type="continuationSeparator" w:id="0">
    <w:p w:rsidR="004A2A21" w:rsidRDefault="004A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C51" w:rsidRDefault="00112259" w:rsidP="007C1B5F">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41C51" w:rsidRDefault="00B41C51" w:rsidP="007C1B5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C51" w:rsidRDefault="00B41C51" w:rsidP="007C1B5F">
    <w:pPr>
      <w:pStyle w:val="ab"/>
      <w:framePr w:wrap="around" w:vAnchor="text" w:hAnchor="margin" w:xAlign="right" w:y="1"/>
      <w:rPr>
        <w:rStyle w:val="ac"/>
      </w:rPr>
    </w:pPr>
  </w:p>
  <w:p w:rsidR="00B41C51" w:rsidRDefault="00B41C51" w:rsidP="007C1B5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A21" w:rsidRDefault="004A2A21">
      <w:r>
        <w:separator/>
      </w:r>
    </w:p>
  </w:footnote>
  <w:footnote w:type="continuationSeparator" w:id="0">
    <w:p w:rsidR="004A2A21" w:rsidRDefault="004A2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64B"/>
    <w:multiLevelType w:val="multilevel"/>
    <w:tmpl w:val="A4D86288"/>
    <w:lvl w:ilvl="0">
      <w:start w:val="4"/>
      <w:numFmt w:val="bullet"/>
      <w:lvlText w:val="-"/>
      <w:lvlJc w:val="left"/>
      <w:pPr>
        <w:tabs>
          <w:tab w:val="num" w:pos="1065"/>
        </w:tabs>
        <w:ind w:left="1065"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7104F"/>
    <w:multiLevelType w:val="singleLevel"/>
    <w:tmpl w:val="A574D42A"/>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2916C59"/>
    <w:multiLevelType w:val="multilevel"/>
    <w:tmpl w:val="A4D86288"/>
    <w:lvl w:ilvl="0">
      <w:start w:val="4"/>
      <w:numFmt w:val="bullet"/>
      <w:lvlText w:val="-"/>
      <w:lvlJc w:val="left"/>
      <w:pPr>
        <w:tabs>
          <w:tab w:val="num" w:pos="1065"/>
        </w:tabs>
        <w:ind w:left="1065"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597480"/>
    <w:multiLevelType w:val="multilevel"/>
    <w:tmpl w:val="A4D86288"/>
    <w:lvl w:ilvl="0">
      <w:start w:val="4"/>
      <w:numFmt w:val="bullet"/>
      <w:lvlText w:val="-"/>
      <w:lvlJc w:val="left"/>
      <w:pPr>
        <w:tabs>
          <w:tab w:val="num" w:pos="1065"/>
        </w:tabs>
        <w:ind w:left="1065"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E1989"/>
    <w:multiLevelType w:val="hybridMultilevel"/>
    <w:tmpl w:val="F6D62544"/>
    <w:lvl w:ilvl="0" w:tplc="C8AE607C">
      <w:start w:val="1"/>
      <w:numFmt w:val="decimal"/>
      <w:lvlText w:val="%1."/>
      <w:lvlJc w:val="left"/>
      <w:pPr>
        <w:tabs>
          <w:tab w:val="num" w:pos="720"/>
        </w:tabs>
        <w:ind w:left="720" w:hanging="360"/>
      </w:pPr>
      <w:rPr>
        <w:rFonts w:hint="default"/>
      </w:rPr>
    </w:lvl>
    <w:lvl w:ilvl="1" w:tplc="CC521E8E" w:tentative="1">
      <w:start w:val="1"/>
      <w:numFmt w:val="lowerLetter"/>
      <w:lvlText w:val="%2."/>
      <w:lvlJc w:val="left"/>
      <w:pPr>
        <w:tabs>
          <w:tab w:val="num" w:pos="1440"/>
        </w:tabs>
        <w:ind w:left="1440" w:hanging="360"/>
      </w:pPr>
    </w:lvl>
    <w:lvl w:ilvl="2" w:tplc="87ECED8A" w:tentative="1">
      <w:start w:val="1"/>
      <w:numFmt w:val="lowerRoman"/>
      <w:lvlText w:val="%3."/>
      <w:lvlJc w:val="right"/>
      <w:pPr>
        <w:tabs>
          <w:tab w:val="num" w:pos="2160"/>
        </w:tabs>
        <w:ind w:left="2160" w:hanging="180"/>
      </w:pPr>
    </w:lvl>
    <w:lvl w:ilvl="3" w:tplc="8766DCD8" w:tentative="1">
      <w:start w:val="1"/>
      <w:numFmt w:val="decimal"/>
      <w:lvlText w:val="%4."/>
      <w:lvlJc w:val="left"/>
      <w:pPr>
        <w:tabs>
          <w:tab w:val="num" w:pos="2880"/>
        </w:tabs>
        <w:ind w:left="2880" w:hanging="360"/>
      </w:pPr>
    </w:lvl>
    <w:lvl w:ilvl="4" w:tplc="EC029F9A" w:tentative="1">
      <w:start w:val="1"/>
      <w:numFmt w:val="lowerLetter"/>
      <w:lvlText w:val="%5."/>
      <w:lvlJc w:val="left"/>
      <w:pPr>
        <w:tabs>
          <w:tab w:val="num" w:pos="3600"/>
        </w:tabs>
        <w:ind w:left="3600" w:hanging="360"/>
      </w:pPr>
    </w:lvl>
    <w:lvl w:ilvl="5" w:tplc="670EDB82" w:tentative="1">
      <w:start w:val="1"/>
      <w:numFmt w:val="lowerRoman"/>
      <w:lvlText w:val="%6."/>
      <w:lvlJc w:val="right"/>
      <w:pPr>
        <w:tabs>
          <w:tab w:val="num" w:pos="4320"/>
        </w:tabs>
        <w:ind w:left="4320" w:hanging="180"/>
      </w:pPr>
    </w:lvl>
    <w:lvl w:ilvl="6" w:tplc="8700699A" w:tentative="1">
      <w:start w:val="1"/>
      <w:numFmt w:val="decimal"/>
      <w:lvlText w:val="%7."/>
      <w:lvlJc w:val="left"/>
      <w:pPr>
        <w:tabs>
          <w:tab w:val="num" w:pos="5040"/>
        </w:tabs>
        <w:ind w:left="5040" w:hanging="360"/>
      </w:pPr>
    </w:lvl>
    <w:lvl w:ilvl="7" w:tplc="D67CE736" w:tentative="1">
      <w:start w:val="1"/>
      <w:numFmt w:val="lowerLetter"/>
      <w:lvlText w:val="%8."/>
      <w:lvlJc w:val="left"/>
      <w:pPr>
        <w:tabs>
          <w:tab w:val="num" w:pos="5760"/>
        </w:tabs>
        <w:ind w:left="5760" w:hanging="360"/>
      </w:pPr>
    </w:lvl>
    <w:lvl w:ilvl="8" w:tplc="A77A93E4" w:tentative="1">
      <w:start w:val="1"/>
      <w:numFmt w:val="lowerRoman"/>
      <w:lvlText w:val="%9."/>
      <w:lvlJc w:val="right"/>
      <w:pPr>
        <w:tabs>
          <w:tab w:val="num" w:pos="6480"/>
        </w:tabs>
        <w:ind w:left="6480" w:hanging="180"/>
      </w:pPr>
    </w:lvl>
  </w:abstractNum>
  <w:abstractNum w:abstractNumId="5" w15:restartNumberingAfterBreak="0">
    <w:nsid w:val="1B0A0438"/>
    <w:multiLevelType w:val="multilevel"/>
    <w:tmpl w:val="A4D86288"/>
    <w:lvl w:ilvl="0">
      <w:start w:val="4"/>
      <w:numFmt w:val="bullet"/>
      <w:lvlText w:val="-"/>
      <w:lvlJc w:val="left"/>
      <w:pPr>
        <w:tabs>
          <w:tab w:val="num" w:pos="1065"/>
        </w:tabs>
        <w:ind w:left="1065"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87579A"/>
    <w:multiLevelType w:val="multilevel"/>
    <w:tmpl w:val="040E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C16BDC"/>
    <w:multiLevelType w:val="multilevel"/>
    <w:tmpl w:val="040E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0E3FEE"/>
    <w:multiLevelType w:val="multilevel"/>
    <w:tmpl w:val="A4D86288"/>
    <w:lvl w:ilvl="0">
      <w:start w:val="4"/>
      <w:numFmt w:val="bullet"/>
      <w:lvlText w:val="-"/>
      <w:lvlJc w:val="left"/>
      <w:pPr>
        <w:tabs>
          <w:tab w:val="num" w:pos="1065"/>
        </w:tabs>
        <w:ind w:left="1065"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043045"/>
    <w:multiLevelType w:val="multilevel"/>
    <w:tmpl w:val="A4D86288"/>
    <w:lvl w:ilvl="0">
      <w:start w:val="4"/>
      <w:numFmt w:val="bullet"/>
      <w:lvlText w:val="-"/>
      <w:lvlJc w:val="left"/>
      <w:pPr>
        <w:tabs>
          <w:tab w:val="num" w:pos="1065"/>
        </w:tabs>
        <w:ind w:left="1065"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F23F9F"/>
    <w:multiLevelType w:val="hybridMultilevel"/>
    <w:tmpl w:val="149AD538"/>
    <w:lvl w:ilvl="0" w:tplc="557C08E2">
      <w:numFmt w:val="bullet"/>
      <w:lvlText w:val="•"/>
      <w:lvlJc w:val="left"/>
      <w:pPr>
        <w:ind w:left="1068" w:hanging="708"/>
      </w:pPr>
      <w:rPr>
        <w:rFonts w:ascii="Times New Roman" w:eastAsia="Times New Roman" w:hAnsi="Times New Roman" w:cs="Times New Roman" w:hint="default"/>
      </w:rPr>
    </w:lvl>
    <w:lvl w:ilvl="1" w:tplc="363E3140" w:tentative="1">
      <w:start w:val="1"/>
      <w:numFmt w:val="bullet"/>
      <w:lvlText w:val="o"/>
      <w:lvlJc w:val="left"/>
      <w:pPr>
        <w:ind w:left="1440" w:hanging="360"/>
      </w:pPr>
      <w:rPr>
        <w:rFonts w:ascii="Courier New" w:hAnsi="Courier New" w:cs="Courier New" w:hint="default"/>
      </w:rPr>
    </w:lvl>
    <w:lvl w:ilvl="2" w:tplc="DF5C787A" w:tentative="1">
      <w:start w:val="1"/>
      <w:numFmt w:val="bullet"/>
      <w:lvlText w:val=""/>
      <w:lvlJc w:val="left"/>
      <w:pPr>
        <w:ind w:left="2160" w:hanging="360"/>
      </w:pPr>
      <w:rPr>
        <w:rFonts w:ascii="Wingdings" w:hAnsi="Wingdings" w:hint="default"/>
      </w:rPr>
    </w:lvl>
    <w:lvl w:ilvl="3" w:tplc="6C2C38A4" w:tentative="1">
      <w:start w:val="1"/>
      <w:numFmt w:val="bullet"/>
      <w:lvlText w:val=""/>
      <w:lvlJc w:val="left"/>
      <w:pPr>
        <w:ind w:left="2880" w:hanging="360"/>
      </w:pPr>
      <w:rPr>
        <w:rFonts w:ascii="Symbol" w:hAnsi="Symbol" w:hint="default"/>
      </w:rPr>
    </w:lvl>
    <w:lvl w:ilvl="4" w:tplc="4B2E87B2" w:tentative="1">
      <w:start w:val="1"/>
      <w:numFmt w:val="bullet"/>
      <w:lvlText w:val="o"/>
      <w:lvlJc w:val="left"/>
      <w:pPr>
        <w:ind w:left="3600" w:hanging="360"/>
      </w:pPr>
      <w:rPr>
        <w:rFonts w:ascii="Courier New" w:hAnsi="Courier New" w:cs="Courier New" w:hint="default"/>
      </w:rPr>
    </w:lvl>
    <w:lvl w:ilvl="5" w:tplc="54D6EA6C" w:tentative="1">
      <w:start w:val="1"/>
      <w:numFmt w:val="bullet"/>
      <w:lvlText w:val=""/>
      <w:lvlJc w:val="left"/>
      <w:pPr>
        <w:ind w:left="4320" w:hanging="360"/>
      </w:pPr>
      <w:rPr>
        <w:rFonts w:ascii="Wingdings" w:hAnsi="Wingdings" w:hint="default"/>
      </w:rPr>
    </w:lvl>
    <w:lvl w:ilvl="6" w:tplc="F6B0649C" w:tentative="1">
      <w:start w:val="1"/>
      <w:numFmt w:val="bullet"/>
      <w:lvlText w:val=""/>
      <w:lvlJc w:val="left"/>
      <w:pPr>
        <w:ind w:left="5040" w:hanging="360"/>
      </w:pPr>
      <w:rPr>
        <w:rFonts w:ascii="Symbol" w:hAnsi="Symbol" w:hint="default"/>
      </w:rPr>
    </w:lvl>
    <w:lvl w:ilvl="7" w:tplc="14686134" w:tentative="1">
      <w:start w:val="1"/>
      <w:numFmt w:val="bullet"/>
      <w:lvlText w:val="o"/>
      <w:lvlJc w:val="left"/>
      <w:pPr>
        <w:ind w:left="5760" w:hanging="360"/>
      </w:pPr>
      <w:rPr>
        <w:rFonts w:ascii="Courier New" w:hAnsi="Courier New" w:cs="Courier New" w:hint="default"/>
      </w:rPr>
    </w:lvl>
    <w:lvl w:ilvl="8" w:tplc="7408D10C" w:tentative="1">
      <w:start w:val="1"/>
      <w:numFmt w:val="bullet"/>
      <w:lvlText w:val=""/>
      <w:lvlJc w:val="left"/>
      <w:pPr>
        <w:ind w:left="6480" w:hanging="360"/>
      </w:pPr>
      <w:rPr>
        <w:rFonts w:ascii="Wingdings" w:hAnsi="Wingdings" w:hint="default"/>
      </w:rPr>
    </w:lvl>
  </w:abstractNum>
  <w:abstractNum w:abstractNumId="11" w15:restartNumberingAfterBreak="0">
    <w:nsid w:val="3FBD0004"/>
    <w:multiLevelType w:val="hybridMultilevel"/>
    <w:tmpl w:val="69C656FE"/>
    <w:lvl w:ilvl="0" w:tplc="8774FDD6">
      <w:start w:val="1"/>
      <w:numFmt w:val="bullet"/>
      <w:lvlText w:val=""/>
      <w:lvlJc w:val="left"/>
      <w:pPr>
        <w:ind w:left="720" w:hanging="360"/>
      </w:pPr>
      <w:rPr>
        <w:rFonts w:ascii="Symbol" w:hAnsi="Symbol" w:hint="default"/>
      </w:rPr>
    </w:lvl>
    <w:lvl w:ilvl="1" w:tplc="ABFEA4BA" w:tentative="1">
      <w:start w:val="1"/>
      <w:numFmt w:val="bullet"/>
      <w:lvlText w:val="o"/>
      <w:lvlJc w:val="left"/>
      <w:pPr>
        <w:ind w:left="1440" w:hanging="360"/>
      </w:pPr>
      <w:rPr>
        <w:rFonts w:ascii="Courier New" w:hAnsi="Courier New" w:cs="Courier New" w:hint="default"/>
      </w:rPr>
    </w:lvl>
    <w:lvl w:ilvl="2" w:tplc="FC0AD48E" w:tentative="1">
      <w:start w:val="1"/>
      <w:numFmt w:val="bullet"/>
      <w:lvlText w:val=""/>
      <w:lvlJc w:val="left"/>
      <w:pPr>
        <w:ind w:left="2160" w:hanging="360"/>
      </w:pPr>
      <w:rPr>
        <w:rFonts w:ascii="Wingdings" w:hAnsi="Wingdings" w:hint="default"/>
      </w:rPr>
    </w:lvl>
    <w:lvl w:ilvl="3" w:tplc="CFA8F46C" w:tentative="1">
      <w:start w:val="1"/>
      <w:numFmt w:val="bullet"/>
      <w:lvlText w:val=""/>
      <w:lvlJc w:val="left"/>
      <w:pPr>
        <w:ind w:left="2880" w:hanging="360"/>
      </w:pPr>
      <w:rPr>
        <w:rFonts w:ascii="Symbol" w:hAnsi="Symbol" w:hint="default"/>
      </w:rPr>
    </w:lvl>
    <w:lvl w:ilvl="4" w:tplc="80E42E7C" w:tentative="1">
      <w:start w:val="1"/>
      <w:numFmt w:val="bullet"/>
      <w:lvlText w:val="o"/>
      <w:lvlJc w:val="left"/>
      <w:pPr>
        <w:ind w:left="3600" w:hanging="360"/>
      </w:pPr>
      <w:rPr>
        <w:rFonts w:ascii="Courier New" w:hAnsi="Courier New" w:cs="Courier New" w:hint="default"/>
      </w:rPr>
    </w:lvl>
    <w:lvl w:ilvl="5" w:tplc="916C6236" w:tentative="1">
      <w:start w:val="1"/>
      <w:numFmt w:val="bullet"/>
      <w:lvlText w:val=""/>
      <w:lvlJc w:val="left"/>
      <w:pPr>
        <w:ind w:left="4320" w:hanging="360"/>
      </w:pPr>
      <w:rPr>
        <w:rFonts w:ascii="Wingdings" w:hAnsi="Wingdings" w:hint="default"/>
      </w:rPr>
    </w:lvl>
    <w:lvl w:ilvl="6" w:tplc="300A6B88" w:tentative="1">
      <w:start w:val="1"/>
      <w:numFmt w:val="bullet"/>
      <w:lvlText w:val=""/>
      <w:lvlJc w:val="left"/>
      <w:pPr>
        <w:ind w:left="5040" w:hanging="360"/>
      </w:pPr>
      <w:rPr>
        <w:rFonts w:ascii="Symbol" w:hAnsi="Symbol" w:hint="default"/>
      </w:rPr>
    </w:lvl>
    <w:lvl w:ilvl="7" w:tplc="A6C41BB2" w:tentative="1">
      <w:start w:val="1"/>
      <w:numFmt w:val="bullet"/>
      <w:lvlText w:val="o"/>
      <w:lvlJc w:val="left"/>
      <w:pPr>
        <w:ind w:left="5760" w:hanging="360"/>
      </w:pPr>
      <w:rPr>
        <w:rFonts w:ascii="Courier New" w:hAnsi="Courier New" w:cs="Courier New" w:hint="default"/>
      </w:rPr>
    </w:lvl>
    <w:lvl w:ilvl="8" w:tplc="EB023584" w:tentative="1">
      <w:start w:val="1"/>
      <w:numFmt w:val="bullet"/>
      <w:lvlText w:val=""/>
      <w:lvlJc w:val="left"/>
      <w:pPr>
        <w:ind w:left="6480" w:hanging="360"/>
      </w:pPr>
      <w:rPr>
        <w:rFonts w:ascii="Wingdings" w:hAnsi="Wingdings" w:hint="default"/>
      </w:rPr>
    </w:lvl>
  </w:abstractNum>
  <w:abstractNum w:abstractNumId="12" w15:restartNumberingAfterBreak="0">
    <w:nsid w:val="4ED63AD0"/>
    <w:multiLevelType w:val="multilevel"/>
    <w:tmpl w:val="A4D86288"/>
    <w:lvl w:ilvl="0">
      <w:start w:val="4"/>
      <w:numFmt w:val="bullet"/>
      <w:lvlText w:val="-"/>
      <w:lvlJc w:val="left"/>
      <w:pPr>
        <w:tabs>
          <w:tab w:val="num" w:pos="1065"/>
        </w:tabs>
        <w:ind w:left="1065"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510BDB"/>
    <w:multiLevelType w:val="multilevel"/>
    <w:tmpl w:val="A4D86288"/>
    <w:lvl w:ilvl="0">
      <w:start w:val="4"/>
      <w:numFmt w:val="bullet"/>
      <w:lvlText w:val="-"/>
      <w:lvlJc w:val="left"/>
      <w:pPr>
        <w:tabs>
          <w:tab w:val="num" w:pos="1065"/>
        </w:tabs>
        <w:ind w:left="1065"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2E4B26"/>
    <w:multiLevelType w:val="multilevel"/>
    <w:tmpl w:val="A4D86288"/>
    <w:lvl w:ilvl="0">
      <w:start w:val="4"/>
      <w:numFmt w:val="bullet"/>
      <w:lvlText w:val="-"/>
      <w:lvlJc w:val="left"/>
      <w:pPr>
        <w:tabs>
          <w:tab w:val="num" w:pos="1065"/>
        </w:tabs>
        <w:ind w:left="1065"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7D0485"/>
    <w:multiLevelType w:val="multilevel"/>
    <w:tmpl w:val="A4D86288"/>
    <w:lvl w:ilvl="0">
      <w:start w:val="4"/>
      <w:numFmt w:val="bullet"/>
      <w:lvlText w:val="-"/>
      <w:lvlJc w:val="left"/>
      <w:pPr>
        <w:tabs>
          <w:tab w:val="num" w:pos="1065"/>
        </w:tabs>
        <w:ind w:left="1065"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9969BA"/>
    <w:multiLevelType w:val="hybridMultilevel"/>
    <w:tmpl w:val="9880EBAE"/>
    <w:lvl w:ilvl="0" w:tplc="5394D78E">
      <w:start w:val="1"/>
      <w:numFmt w:val="decimal"/>
      <w:lvlText w:val="%1."/>
      <w:lvlJc w:val="left"/>
      <w:pPr>
        <w:tabs>
          <w:tab w:val="num" w:pos="720"/>
        </w:tabs>
        <w:ind w:left="720" w:hanging="360"/>
      </w:pPr>
    </w:lvl>
    <w:lvl w:ilvl="1" w:tplc="F1A61370" w:tentative="1">
      <w:start w:val="1"/>
      <w:numFmt w:val="lowerLetter"/>
      <w:lvlText w:val="%2."/>
      <w:lvlJc w:val="left"/>
      <w:pPr>
        <w:tabs>
          <w:tab w:val="num" w:pos="1440"/>
        </w:tabs>
        <w:ind w:left="1440" w:hanging="360"/>
      </w:pPr>
    </w:lvl>
    <w:lvl w:ilvl="2" w:tplc="28A804EA" w:tentative="1">
      <w:start w:val="1"/>
      <w:numFmt w:val="lowerRoman"/>
      <w:lvlText w:val="%3."/>
      <w:lvlJc w:val="right"/>
      <w:pPr>
        <w:tabs>
          <w:tab w:val="num" w:pos="2160"/>
        </w:tabs>
        <w:ind w:left="2160" w:hanging="180"/>
      </w:pPr>
    </w:lvl>
    <w:lvl w:ilvl="3" w:tplc="F3CA433A" w:tentative="1">
      <w:start w:val="1"/>
      <w:numFmt w:val="decimal"/>
      <w:lvlText w:val="%4."/>
      <w:lvlJc w:val="left"/>
      <w:pPr>
        <w:tabs>
          <w:tab w:val="num" w:pos="2880"/>
        </w:tabs>
        <w:ind w:left="2880" w:hanging="360"/>
      </w:pPr>
    </w:lvl>
    <w:lvl w:ilvl="4" w:tplc="80F6FEB8" w:tentative="1">
      <w:start w:val="1"/>
      <w:numFmt w:val="lowerLetter"/>
      <w:lvlText w:val="%5."/>
      <w:lvlJc w:val="left"/>
      <w:pPr>
        <w:tabs>
          <w:tab w:val="num" w:pos="3600"/>
        </w:tabs>
        <w:ind w:left="3600" w:hanging="360"/>
      </w:pPr>
    </w:lvl>
    <w:lvl w:ilvl="5" w:tplc="7B96B274" w:tentative="1">
      <w:start w:val="1"/>
      <w:numFmt w:val="lowerRoman"/>
      <w:lvlText w:val="%6."/>
      <w:lvlJc w:val="right"/>
      <w:pPr>
        <w:tabs>
          <w:tab w:val="num" w:pos="4320"/>
        </w:tabs>
        <w:ind w:left="4320" w:hanging="180"/>
      </w:pPr>
    </w:lvl>
    <w:lvl w:ilvl="6" w:tplc="B9C8B1CE" w:tentative="1">
      <w:start w:val="1"/>
      <w:numFmt w:val="decimal"/>
      <w:lvlText w:val="%7."/>
      <w:lvlJc w:val="left"/>
      <w:pPr>
        <w:tabs>
          <w:tab w:val="num" w:pos="5040"/>
        </w:tabs>
        <w:ind w:left="5040" w:hanging="360"/>
      </w:pPr>
    </w:lvl>
    <w:lvl w:ilvl="7" w:tplc="B0C8637E" w:tentative="1">
      <w:start w:val="1"/>
      <w:numFmt w:val="lowerLetter"/>
      <w:lvlText w:val="%8."/>
      <w:lvlJc w:val="left"/>
      <w:pPr>
        <w:tabs>
          <w:tab w:val="num" w:pos="5760"/>
        </w:tabs>
        <w:ind w:left="5760" w:hanging="360"/>
      </w:pPr>
    </w:lvl>
    <w:lvl w:ilvl="8" w:tplc="4456FBA0" w:tentative="1">
      <w:start w:val="1"/>
      <w:numFmt w:val="lowerRoman"/>
      <w:lvlText w:val="%9."/>
      <w:lvlJc w:val="right"/>
      <w:pPr>
        <w:tabs>
          <w:tab w:val="num" w:pos="6480"/>
        </w:tabs>
        <w:ind w:left="6480" w:hanging="180"/>
      </w:pPr>
    </w:lvl>
  </w:abstractNum>
  <w:abstractNum w:abstractNumId="17" w15:restartNumberingAfterBreak="0">
    <w:nsid w:val="79F6222C"/>
    <w:multiLevelType w:val="multilevel"/>
    <w:tmpl w:val="A4D86288"/>
    <w:lvl w:ilvl="0">
      <w:start w:val="4"/>
      <w:numFmt w:val="bullet"/>
      <w:lvlText w:val="-"/>
      <w:lvlJc w:val="left"/>
      <w:pPr>
        <w:tabs>
          <w:tab w:val="num" w:pos="1065"/>
        </w:tabs>
        <w:ind w:left="1065"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2"/>
  </w:num>
  <w:num w:numId="5">
    <w:abstractNumId w:val="5"/>
  </w:num>
  <w:num w:numId="6">
    <w:abstractNumId w:val="17"/>
  </w:num>
  <w:num w:numId="7">
    <w:abstractNumId w:val="9"/>
  </w:num>
  <w:num w:numId="8">
    <w:abstractNumId w:val="0"/>
  </w:num>
  <w:num w:numId="9">
    <w:abstractNumId w:val="12"/>
  </w:num>
  <w:num w:numId="10">
    <w:abstractNumId w:val="14"/>
  </w:num>
  <w:num w:numId="11">
    <w:abstractNumId w:val="8"/>
  </w:num>
  <w:num w:numId="12">
    <w:abstractNumId w:val="13"/>
  </w:num>
  <w:num w:numId="13">
    <w:abstractNumId w:val="15"/>
  </w:num>
  <w:num w:numId="14">
    <w:abstractNumId w:val="3"/>
  </w:num>
  <w:num w:numId="15">
    <w:abstractNumId w:val="16"/>
  </w:num>
  <w:num w:numId="16">
    <w:abstractNumId w:val="1"/>
  </w:num>
  <w:num w:numId="17">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18">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19">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20">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21">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D5"/>
    <w:rsid w:val="00000AE4"/>
    <w:rsid w:val="00004765"/>
    <w:rsid w:val="0000500E"/>
    <w:rsid w:val="0000534B"/>
    <w:rsid w:val="0000756D"/>
    <w:rsid w:val="000218EB"/>
    <w:rsid w:val="00025B64"/>
    <w:rsid w:val="00026D70"/>
    <w:rsid w:val="000274D2"/>
    <w:rsid w:val="000546C9"/>
    <w:rsid w:val="00063D05"/>
    <w:rsid w:val="0007148E"/>
    <w:rsid w:val="000733D9"/>
    <w:rsid w:val="0008735B"/>
    <w:rsid w:val="00090881"/>
    <w:rsid w:val="00094284"/>
    <w:rsid w:val="000A66BF"/>
    <w:rsid w:val="000B51BE"/>
    <w:rsid w:val="000C2ED3"/>
    <w:rsid w:val="000C3617"/>
    <w:rsid w:val="000D70BA"/>
    <w:rsid w:val="00100584"/>
    <w:rsid w:val="00112259"/>
    <w:rsid w:val="00117083"/>
    <w:rsid w:val="00131049"/>
    <w:rsid w:val="001355EA"/>
    <w:rsid w:val="00147F9D"/>
    <w:rsid w:val="00161A02"/>
    <w:rsid w:val="00163DC4"/>
    <w:rsid w:val="00183F59"/>
    <w:rsid w:val="00193F00"/>
    <w:rsid w:val="001A437E"/>
    <w:rsid w:val="001B7E14"/>
    <w:rsid w:val="001C3CBB"/>
    <w:rsid w:val="001D4869"/>
    <w:rsid w:val="00207A16"/>
    <w:rsid w:val="00216387"/>
    <w:rsid w:val="00230935"/>
    <w:rsid w:val="0023360F"/>
    <w:rsid w:val="0023696A"/>
    <w:rsid w:val="0024582C"/>
    <w:rsid w:val="00264EE8"/>
    <w:rsid w:val="00273F67"/>
    <w:rsid w:val="00274BAB"/>
    <w:rsid w:val="002823FD"/>
    <w:rsid w:val="0028285C"/>
    <w:rsid w:val="002A1578"/>
    <w:rsid w:val="002C0A91"/>
    <w:rsid w:val="002D0D49"/>
    <w:rsid w:val="003126AA"/>
    <w:rsid w:val="003351D8"/>
    <w:rsid w:val="00373F2E"/>
    <w:rsid w:val="003827D4"/>
    <w:rsid w:val="0038285A"/>
    <w:rsid w:val="00391C7B"/>
    <w:rsid w:val="003A19EE"/>
    <w:rsid w:val="003B5EB2"/>
    <w:rsid w:val="003C4BAA"/>
    <w:rsid w:val="003F2096"/>
    <w:rsid w:val="004237E8"/>
    <w:rsid w:val="004446E3"/>
    <w:rsid w:val="00460C46"/>
    <w:rsid w:val="00464EEF"/>
    <w:rsid w:val="0046510A"/>
    <w:rsid w:val="004655BC"/>
    <w:rsid w:val="00466182"/>
    <w:rsid w:val="00477159"/>
    <w:rsid w:val="00491BE9"/>
    <w:rsid w:val="004925AC"/>
    <w:rsid w:val="004A2A21"/>
    <w:rsid w:val="004A3F06"/>
    <w:rsid w:val="004C166F"/>
    <w:rsid w:val="004D0CD3"/>
    <w:rsid w:val="004D59E7"/>
    <w:rsid w:val="004E01D7"/>
    <w:rsid w:val="004E4BD2"/>
    <w:rsid w:val="005000B8"/>
    <w:rsid w:val="005101A7"/>
    <w:rsid w:val="00514904"/>
    <w:rsid w:val="00523A0C"/>
    <w:rsid w:val="00527DFE"/>
    <w:rsid w:val="00533094"/>
    <w:rsid w:val="00541B04"/>
    <w:rsid w:val="005430F9"/>
    <w:rsid w:val="00544AA3"/>
    <w:rsid w:val="0055031D"/>
    <w:rsid w:val="005857EC"/>
    <w:rsid w:val="00594268"/>
    <w:rsid w:val="005A3860"/>
    <w:rsid w:val="005C728C"/>
    <w:rsid w:val="005D6C58"/>
    <w:rsid w:val="005E3B29"/>
    <w:rsid w:val="005F2D4D"/>
    <w:rsid w:val="005F3F47"/>
    <w:rsid w:val="005F6F0A"/>
    <w:rsid w:val="00614474"/>
    <w:rsid w:val="00616B0B"/>
    <w:rsid w:val="00630378"/>
    <w:rsid w:val="00637540"/>
    <w:rsid w:val="00642C8B"/>
    <w:rsid w:val="00646F86"/>
    <w:rsid w:val="00647C80"/>
    <w:rsid w:val="00657BAD"/>
    <w:rsid w:val="00663231"/>
    <w:rsid w:val="00665A5C"/>
    <w:rsid w:val="00683245"/>
    <w:rsid w:val="00685236"/>
    <w:rsid w:val="006862F5"/>
    <w:rsid w:val="00697595"/>
    <w:rsid w:val="006B0448"/>
    <w:rsid w:val="006C18B6"/>
    <w:rsid w:val="006C30C5"/>
    <w:rsid w:val="006E4B2B"/>
    <w:rsid w:val="006E5100"/>
    <w:rsid w:val="006E55CE"/>
    <w:rsid w:val="006F4DFD"/>
    <w:rsid w:val="006F6BB1"/>
    <w:rsid w:val="00727555"/>
    <w:rsid w:val="0073025D"/>
    <w:rsid w:val="007310FC"/>
    <w:rsid w:val="0074022B"/>
    <w:rsid w:val="00743D5B"/>
    <w:rsid w:val="00773829"/>
    <w:rsid w:val="00775798"/>
    <w:rsid w:val="00775E3E"/>
    <w:rsid w:val="00783B1B"/>
    <w:rsid w:val="007A25D2"/>
    <w:rsid w:val="007A6F2A"/>
    <w:rsid w:val="007B12FA"/>
    <w:rsid w:val="007B34B1"/>
    <w:rsid w:val="007C1B5F"/>
    <w:rsid w:val="007C43B7"/>
    <w:rsid w:val="007C5951"/>
    <w:rsid w:val="007C6D78"/>
    <w:rsid w:val="007D1CA6"/>
    <w:rsid w:val="007D1E0C"/>
    <w:rsid w:val="007D56CC"/>
    <w:rsid w:val="007E0E16"/>
    <w:rsid w:val="007E55DE"/>
    <w:rsid w:val="007F1C0E"/>
    <w:rsid w:val="007F3EB7"/>
    <w:rsid w:val="0080055D"/>
    <w:rsid w:val="00800DB1"/>
    <w:rsid w:val="0080332C"/>
    <w:rsid w:val="0080411B"/>
    <w:rsid w:val="0080623F"/>
    <w:rsid w:val="008105F9"/>
    <w:rsid w:val="00810DDD"/>
    <w:rsid w:val="00812DDA"/>
    <w:rsid w:val="00823E4A"/>
    <w:rsid w:val="00824F80"/>
    <w:rsid w:val="008253D4"/>
    <w:rsid w:val="00827791"/>
    <w:rsid w:val="008327CE"/>
    <w:rsid w:val="00853A98"/>
    <w:rsid w:val="0085447A"/>
    <w:rsid w:val="00855FB6"/>
    <w:rsid w:val="00877017"/>
    <w:rsid w:val="00884624"/>
    <w:rsid w:val="008A67AB"/>
    <w:rsid w:val="008B321E"/>
    <w:rsid w:val="008D0570"/>
    <w:rsid w:val="008E140D"/>
    <w:rsid w:val="008E6334"/>
    <w:rsid w:val="009028F1"/>
    <w:rsid w:val="00904CBF"/>
    <w:rsid w:val="00950107"/>
    <w:rsid w:val="00951871"/>
    <w:rsid w:val="00961AB9"/>
    <w:rsid w:val="009920D1"/>
    <w:rsid w:val="009A67FD"/>
    <w:rsid w:val="009B28E4"/>
    <w:rsid w:val="009D3266"/>
    <w:rsid w:val="009D57D6"/>
    <w:rsid w:val="009D5B69"/>
    <w:rsid w:val="009D6E54"/>
    <w:rsid w:val="009E733B"/>
    <w:rsid w:val="009F4887"/>
    <w:rsid w:val="00A11BC1"/>
    <w:rsid w:val="00A14098"/>
    <w:rsid w:val="00A14293"/>
    <w:rsid w:val="00A17129"/>
    <w:rsid w:val="00A2504E"/>
    <w:rsid w:val="00A74885"/>
    <w:rsid w:val="00A77D06"/>
    <w:rsid w:val="00A80FFD"/>
    <w:rsid w:val="00A82EB0"/>
    <w:rsid w:val="00AB5561"/>
    <w:rsid w:val="00AB5A5F"/>
    <w:rsid w:val="00AC328E"/>
    <w:rsid w:val="00AD3773"/>
    <w:rsid w:val="00AD52C9"/>
    <w:rsid w:val="00AD773E"/>
    <w:rsid w:val="00AF43D8"/>
    <w:rsid w:val="00AF4A4D"/>
    <w:rsid w:val="00B0275E"/>
    <w:rsid w:val="00B02B77"/>
    <w:rsid w:val="00B0302C"/>
    <w:rsid w:val="00B21E13"/>
    <w:rsid w:val="00B35C88"/>
    <w:rsid w:val="00B4174C"/>
    <w:rsid w:val="00B41C51"/>
    <w:rsid w:val="00B41EFE"/>
    <w:rsid w:val="00B4313B"/>
    <w:rsid w:val="00B52520"/>
    <w:rsid w:val="00B55F37"/>
    <w:rsid w:val="00B56405"/>
    <w:rsid w:val="00B73392"/>
    <w:rsid w:val="00B7642E"/>
    <w:rsid w:val="00B82B26"/>
    <w:rsid w:val="00B87DD0"/>
    <w:rsid w:val="00B91087"/>
    <w:rsid w:val="00BA5149"/>
    <w:rsid w:val="00BC3AA3"/>
    <w:rsid w:val="00BD26A4"/>
    <w:rsid w:val="00BE4BBF"/>
    <w:rsid w:val="00BF62F8"/>
    <w:rsid w:val="00C01635"/>
    <w:rsid w:val="00C102C4"/>
    <w:rsid w:val="00C14073"/>
    <w:rsid w:val="00C16CCE"/>
    <w:rsid w:val="00C23A77"/>
    <w:rsid w:val="00C259B4"/>
    <w:rsid w:val="00C35208"/>
    <w:rsid w:val="00C4300D"/>
    <w:rsid w:val="00C67D25"/>
    <w:rsid w:val="00C70F27"/>
    <w:rsid w:val="00C80A61"/>
    <w:rsid w:val="00C93EFC"/>
    <w:rsid w:val="00CA707F"/>
    <w:rsid w:val="00CB3DFE"/>
    <w:rsid w:val="00CB64D2"/>
    <w:rsid w:val="00CC5279"/>
    <w:rsid w:val="00D1560E"/>
    <w:rsid w:val="00D3002B"/>
    <w:rsid w:val="00D607D3"/>
    <w:rsid w:val="00D75028"/>
    <w:rsid w:val="00D76D73"/>
    <w:rsid w:val="00D93156"/>
    <w:rsid w:val="00DA60CD"/>
    <w:rsid w:val="00DC7D9F"/>
    <w:rsid w:val="00E000CC"/>
    <w:rsid w:val="00E03B66"/>
    <w:rsid w:val="00E03B85"/>
    <w:rsid w:val="00E23145"/>
    <w:rsid w:val="00E3068D"/>
    <w:rsid w:val="00E334DB"/>
    <w:rsid w:val="00E460B0"/>
    <w:rsid w:val="00E82212"/>
    <w:rsid w:val="00E95594"/>
    <w:rsid w:val="00EA463F"/>
    <w:rsid w:val="00EA5365"/>
    <w:rsid w:val="00EB3169"/>
    <w:rsid w:val="00ED19AF"/>
    <w:rsid w:val="00ED222D"/>
    <w:rsid w:val="00EF57FE"/>
    <w:rsid w:val="00F23D53"/>
    <w:rsid w:val="00F460CC"/>
    <w:rsid w:val="00F50B37"/>
    <w:rsid w:val="00F70956"/>
    <w:rsid w:val="00F71376"/>
    <w:rsid w:val="00F77C22"/>
    <w:rsid w:val="00F86CEE"/>
    <w:rsid w:val="00F94DE6"/>
    <w:rsid w:val="00F970D5"/>
    <w:rsid w:val="00FB2085"/>
    <w:rsid w:val="00FD52D3"/>
    <w:rsid w:val="00FE2B74"/>
    <w:rsid w:val="00FF553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570456"/>
  <w15:docId w15:val="{977E29A8-723B-435B-A11C-0E42B18A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6CC"/>
  </w:style>
  <w:style w:type="paragraph" w:styleId="2">
    <w:name w:val="heading 2"/>
    <w:basedOn w:val="a"/>
    <w:next w:val="a"/>
    <w:qFormat/>
    <w:rsid w:val="007D56CC"/>
    <w:pPr>
      <w:keepNext/>
      <w:spacing w:before="240" w:after="60"/>
      <w:outlineLvl w:val="1"/>
    </w:pPr>
    <w:rPr>
      <w:rFonts w:ascii="Arial" w:hAnsi="Arial" w:cs="Arial"/>
      <w:b/>
      <w:bCs/>
      <w:i/>
      <w:iCs/>
      <w:sz w:val="28"/>
      <w:szCs w:val="28"/>
    </w:rPr>
  </w:style>
  <w:style w:type="paragraph" w:styleId="3">
    <w:name w:val="heading 3"/>
    <w:basedOn w:val="a"/>
    <w:next w:val="a"/>
    <w:qFormat/>
    <w:rsid w:val="007D56CC"/>
    <w:pPr>
      <w:keepNext/>
      <w:spacing w:before="240" w:after="60"/>
      <w:outlineLvl w:val="2"/>
    </w:pPr>
    <w:rPr>
      <w:rFonts w:ascii="Arial" w:hAnsi="Arial"/>
      <w:sz w:val="24"/>
      <w:lang w:val="de-DE"/>
    </w:rPr>
  </w:style>
  <w:style w:type="paragraph" w:styleId="4">
    <w:name w:val="heading 4"/>
    <w:basedOn w:val="a"/>
    <w:next w:val="a"/>
    <w:qFormat/>
    <w:rsid w:val="007D56CC"/>
    <w:pPr>
      <w:keepNext/>
      <w:spacing w:before="240" w:after="60"/>
      <w:outlineLvl w:val="3"/>
    </w:pPr>
    <w:rPr>
      <w:rFonts w:ascii="Arial" w:hAnsi="Arial"/>
      <w:b/>
      <w:sz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D56CC"/>
    <w:rPr>
      <w:lang w:val="de-DE"/>
    </w:rPr>
  </w:style>
  <w:style w:type="paragraph" w:customStyle="1" w:styleId="Normal0">
    <w:name w:val="Normal_0"/>
    <w:rsid w:val="007D56CC"/>
    <w:pPr>
      <w:widowControl w:val="0"/>
    </w:pPr>
  </w:style>
  <w:style w:type="paragraph" w:styleId="a5">
    <w:name w:val="Title"/>
    <w:basedOn w:val="a"/>
    <w:link w:val="a6"/>
    <w:qFormat/>
    <w:rsid w:val="007D56CC"/>
    <w:pPr>
      <w:jc w:val="center"/>
    </w:pPr>
    <w:rPr>
      <w:rFonts w:ascii="Arial" w:hAnsi="Arial"/>
      <w:b/>
      <w:sz w:val="24"/>
    </w:rPr>
  </w:style>
  <w:style w:type="paragraph" w:styleId="a7">
    <w:name w:val="Subtitle"/>
    <w:basedOn w:val="a"/>
    <w:qFormat/>
    <w:rsid w:val="007D56CC"/>
    <w:rPr>
      <w:sz w:val="28"/>
    </w:rPr>
  </w:style>
  <w:style w:type="paragraph" w:styleId="a8">
    <w:name w:val="Body Text Indent"/>
    <w:basedOn w:val="a"/>
    <w:rsid w:val="006C30C5"/>
    <w:pPr>
      <w:ind w:left="360"/>
    </w:pPr>
    <w:rPr>
      <w:b/>
      <w:sz w:val="28"/>
      <w:lang w:val="en-GB"/>
    </w:rPr>
  </w:style>
  <w:style w:type="character" w:styleId="a9">
    <w:name w:val="annotation reference"/>
    <w:semiHidden/>
    <w:rsid w:val="006C30C5"/>
    <w:rPr>
      <w:sz w:val="16"/>
    </w:rPr>
  </w:style>
  <w:style w:type="paragraph" w:styleId="aa">
    <w:name w:val="Balloon Text"/>
    <w:basedOn w:val="a"/>
    <w:semiHidden/>
    <w:rsid w:val="006C30C5"/>
    <w:rPr>
      <w:rFonts w:ascii="Tahoma" w:hAnsi="Tahoma" w:cs="Tahoma"/>
      <w:sz w:val="16"/>
      <w:szCs w:val="16"/>
    </w:rPr>
  </w:style>
  <w:style w:type="paragraph" w:styleId="ab">
    <w:name w:val="footer"/>
    <w:basedOn w:val="a"/>
    <w:rsid w:val="007C1B5F"/>
    <w:pPr>
      <w:tabs>
        <w:tab w:val="center" w:pos="4677"/>
        <w:tab w:val="right" w:pos="9355"/>
      </w:tabs>
    </w:pPr>
  </w:style>
  <w:style w:type="character" w:styleId="ac">
    <w:name w:val="page number"/>
    <w:basedOn w:val="a0"/>
    <w:rsid w:val="007C1B5F"/>
  </w:style>
  <w:style w:type="paragraph" w:styleId="ad">
    <w:name w:val="header"/>
    <w:basedOn w:val="a"/>
    <w:rsid w:val="000C3617"/>
    <w:pPr>
      <w:tabs>
        <w:tab w:val="center" w:pos="4677"/>
        <w:tab w:val="right" w:pos="9355"/>
      </w:tabs>
    </w:pPr>
  </w:style>
  <w:style w:type="paragraph" w:styleId="ae">
    <w:name w:val="No Spacing"/>
    <w:uiPriority w:val="1"/>
    <w:qFormat/>
    <w:rsid w:val="00594268"/>
  </w:style>
  <w:style w:type="character" w:styleId="af">
    <w:name w:val="Strong"/>
    <w:uiPriority w:val="22"/>
    <w:qFormat/>
    <w:rsid w:val="005F2D4D"/>
    <w:rPr>
      <w:b/>
      <w:bCs/>
    </w:rPr>
  </w:style>
  <w:style w:type="character" w:customStyle="1" w:styleId="a6">
    <w:name w:val="Заголовок Знак"/>
    <w:link w:val="a5"/>
    <w:locked/>
    <w:rsid w:val="00B7642E"/>
    <w:rPr>
      <w:rFonts w:ascii="Arial" w:hAnsi="Arial"/>
      <w:b/>
      <w:sz w:val="24"/>
    </w:rPr>
  </w:style>
  <w:style w:type="character" w:styleId="af0">
    <w:name w:val="Hyperlink"/>
    <w:unhideWhenUsed/>
    <w:rsid w:val="00B7642E"/>
    <w:rPr>
      <w:color w:val="0000FF"/>
      <w:u w:val="single"/>
    </w:rPr>
  </w:style>
  <w:style w:type="paragraph" w:styleId="af1">
    <w:name w:val="Normal (Web)"/>
    <w:basedOn w:val="a"/>
    <w:unhideWhenUsed/>
    <w:rsid w:val="001C3CBB"/>
    <w:pPr>
      <w:spacing w:before="100" w:beforeAutospacing="1" w:after="100" w:afterAutospacing="1"/>
    </w:pPr>
    <w:rPr>
      <w:sz w:val="24"/>
      <w:szCs w:val="24"/>
      <w:lang w:val="hu-HU" w:eastAsia="hu-HU"/>
    </w:rPr>
  </w:style>
  <w:style w:type="paragraph" w:styleId="af2">
    <w:name w:val="annotation subject"/>
    <w:basedOn w:val="a3"/>
    <w:next w:val="a3"/>
    <w:link w:val="af3"/>
    <w:uiPriority w:val="99"/>
    <w:semiHidden/>
    <w:unhideWhenUsed/>
    <w:rsid w:val="00727555"/>
    <w:rPr>
      <w:b/>
      <w:bCs/>
      <w:lang w:val="ru-RU"/>
    </w:rPr>
  </w:style>
  <w:style w:type="character" w:customStyle="1" w:styleId="a4">
    <w:name w:val="Текст примечания Знак"/>
    <w:link w:val="a3"/>
    <w:semiHidden/>
    <w:rsid w:val="00727555"/>
    <w:rPr>
      <w:lang w:val="de-DE" w:eastAsia="ru-RU"/>
    </w:rPr>
  </w:style>
  <w:style w:type="character" w:customStyle="1" w:styleId="af3">
    <w:name w:val="Тема примечания Знак"/>
    <w:link w:val="af2"/>
    <w:uiPriority w:val="99"/>
    <w:semiHidden/>
    <w:rsid w:val="00727555"/>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359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gis@egis.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A73C-4A02-4986-AA90-31A8397D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2395</Words>
  <Characters>13657</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Cím</vt:lpstr>
      </vt:variant>
      <vt:variant>
        <vt:i4>1</vt:i4>
      </vt:variant>
    </vt:vector>
  </HeadingPairs>
  <TitlesOfParts>
    <vt:vector size="2" baseType="lpstr">
      <vt:lpstr>УТВЕРЖДЕНА</vt:lpstr>
      <vt:lpstr>УТВЕРЖДЕНА</vt:lpstr>
    </vt:vector>
  </TitlesOfParts>
  <Company>Company</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Comp</dc:creator>
  <cp:lastModifiedBy>Kargabaeva, Akzharkyn KAZ</cp:lastModifiedBy>
  <cp:revision>3</cp:revision>
  <cp:lastPrinted>2013-11-21T08:58:00Z</cp:lastPrinted>
  <dcterms:created xsi:type="dcterms:W3CDTF">2019-08-27T05:13:00Z</dcterms:created>
  <dcterms:modified xsi:type="dcterms:W3CDTF">2019-09-17T04:21:00Z</dcterms:modified>
</cp:coreProperties>
</file>